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73684">
      <w:pPr>
        <w:pStyle w:val="5"/>
        <w:ind w:firstLine="420"/>
      </w:pPr>
    </w:p>
    <w:p w14:paraId="505371C5">
      <w:pPr>
        <w:pStyle w:val="5"/>
        <w:ind w:firstLine="420"/>
      </w:pPr>
    </w:p>
    <w:p w14:paraId="2C406A4F">
      <w:pPr>
        <w:pStyle w:val="5"/>
        <w:ind w:firstLine="420"/>
      </w:pPr>
    </w:p>
    <w:p w14:paraId="3E3B2713">
      <w:pPr>
        <w:pStyle w:val="5"/>
        <w:ind w:firstLine="420"/>
      </w:pPr>
    </w:p>
    <w:p w14:paraId="7E56DD97">
      <w:pPr>
        <w:pStyle w:val="5"/>
        <w:ind w:firstLine="420"/>
      </w:pPr>
    </w:p>
    <w:p w14:paraId="657FD3F4">
      <w:pPr>
        <w:pStyle w:val="5"/>
        <w:ind w:firstLine="420"/>
      </w:pPr>
    </w:p>
    <w:p w14:paraId="3E1B71D4">
      <w:pPr>
        <w:ind w:firstLine="0" w:firstLineChars="0"/>
        <w:rPr>
          <w:b/>
          <w:bCs/>
          <w:sz w:val="40"/>
          <w:szCs w:val="40"/>
          <w:lang w:eastAsia="zh-CN"/>
        </w:rPr>
      </w:pPr>
    </w:p>
    <w:p w14:paraId="6CEE479B">
      <w:pPr>
        <w:ind w:firstLine="0" w:firstLineChars="0"/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《民用爆</w:t>
      </w:r>
      <w:r>
        <w:rPr>
          <w:rFonts w:hint="eastAsia"/>
          <w:b/>
          <w:bCs/>
          <w:sz w:val="40"/>
          <w:szCs w:val="40"/>
          <w:lang w:val="en-US" w:eastAsia="zh-CN"/>
        </w:rPr>
        <w:t>破器材</w:t>
      </w:r>
      <w:r>
        <w:rPr>
          <w:rFonts w:hint="eastAsia"/>
          <w:b/>
          <w:bCs/>
          <w:sz w:val="40"/>
          <w:szCs w:val="40"/>
          <w:lang w:eastAsia="zh-CN"/>
        </w:rPr>
        <w:t>企业安全检查方法  检查表法</w:t>
      </w:r>
    </w:p>
    <w:p w14:paraId="048038C8">
      <w:pPr>
        <w:ind w:firstLine="0" w:firstLineChars="0"/>
        <w:jc w:val="center"/>
        <w:rPr>
          <w:rFonts w:hint="eastAsia"/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val="en-US" w:eastAsia="zh-CN"/>
        </w:rPr>
        <w:t xml:space="preserve">  第1部分：总则</w:t>
      </w:r>
      <w:r>
        <w:rPr>
          <w:rFonts w:hint="eastAsia"/>
          <w:b/>
          <w:bCs/>
          <w:sz w:val="40"/>
          <w:szCs w:val="40"/>
          <w:lang w:eastAsia="zh-CN"/>
        </w:rPr>
        <w:t>》</w:t>
      </w:r>
    </w:p>
    <w:p w14:paraId="501D5FE8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</w:p>
    <w:p w14:paraId="6C433F96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</w:p>
    <w:p w14:paraId="02FBFFD6">
      <w:pPr>
        <w:ind w:firstLine="0" w:firstLineChars="0"/>
        <w:jc w:val="center"/>
        <w:rPr>
          <w:b/>
          <w:bCs/>
          <w:sz w:val="40"/>
          <w:szCs w:val="40"/>
          <w:lang w:eastAsia="zh-CN"/>
        </w:rPr>
      </w:pPr>
      <w:r>
        <w:rPr>
          <w:rFonts w:hint="eastAsia"/>
          <w:b/>
          <w:bCs/>
          <w:sz w:val="40"/>
          <w:szCs w:val="40"/>
          <w:lang w:eastAsia="zh-CN"/>
        </w:rPr>
        <w:t>编制说明</w:t>
      </w:r>
    </w:p>
    <w:p w14:paraId="18926347">
      <w:pPr>
        <w:pStyle w:val="5"/>
        <w:ind w:firstLine="420"/>
        <w:rPr>
          <w:lang w:eastAsia="zh-CN"/>
        </w:rPr>
      </w:pPr>
    </w:p>
    <w:p w14:paraId="42F7468E">
      <w:pPr>
        <w:pStyle w:val="5"/>
        <w:ind w:firstLine="420"/>
        <w:rPr>
          <w:lang w:eastAsia="zh-CN"/>
        </w:rPr>
      </w:pPr>
    </w:p>
    <w:p w14:paraId="235A8310">
      <w:pPr>
        <w:pStyle w:val="5"/>
        <w:ind w:firstLine="420"/>
        <w:rPr>
          <w:lang w:eastAsia="zh-CN"/>
        </w:rPr>
      </w:pPr>
    </w:p>
    <w:p w14:paraId="6262CF9B">
      <w:pPr>
        <w:pStyle w:val="5"/>
        <w:ind w:firstLine="420"/>
        <w:rPr>
          <w:lang w:eastAsia="zh-CN"/>
        </w:rPr>
      </w:pPr>
    </w:p>
    <w:p w14:paraId="03C36280">
      <w:pPr>
        <w:pStyle w:val="5"/>
        <w:ind w:firstLine="420"/>
        <w:rPr>
          <w:lang w:eastAsia="zh-CN"/>
        </w:rPr>
      </w:pPr>
    </w:p>
    <w:p w14:paraId="79A67F45">
      <w:pPr>
        <w:pStyle w:val="5"/>
        <w:ind w:firstLine="420"/>
        <w:rPr>
          <w:lang w:eastAsia="zh-CN"/>
        </w:rPr>
      </w:pPr>
    </w:p>
    <w:p w14:paraId="036D71CE">
      <w:pPr>
        <w:pStyle w:val="5"/>
        <w:ind w:firstLine="420"/>
        <w:rPr>
          <w:lang w:eastAsia="zh-CN"/>
        </w:rPr>
      </w:pPr>
    </w:p>
    <w:p w14:paraId="18B3A981">
      <w:pPr>
        <w:pStyle w:val="5"/>
        <w:ind w:firstLine="420"/>
        <w:rPr>
          <w:lang w:eastAsia="zh-CN"/>
        </w:rPr>
      </w:pPr>
    </w:p>
    <w:p w14:paraId="3F7A8025">
      <w:pPr>
        <w:pStyle w:val="5"/>
        <w:ind w:firstLine="420"/>
        <w:rPr>
          <w:lang w:eastAsia="zh-CN"/>
        </w:rPr>
      </w:pPr>
    </w:p>
    <w:p w14:paraId="5992F3D1">
      <w:pPr>
        <w:pStyle w:val="5"/>
        <w:ind w:firstLine="420"/>
        <w:rPr>
          <w:lang w:eastAsia="zh-CN"/>
        </w:rPr>
      </w:pPr>
    </w:p>
    <w:p w14:paraId="75A073BC">
      <w:pPr>
        <w:pStyle w:val="5"/>
        <w:ind w:firstLine="420"/>
        <w:rPr>
          <w:lang w:eastAsia="zh-CN"/>
        </w:rPr>
      </w:pPr>
    </w:p>
    <w:p w14:paraId="2784F932">
      <w:pPr>
        <w:pStyle w:val="5"/>
        <w:ind w:firstLine="420"/>
        <w:rPr>
          <w:lang w:eastAsia="zh-CN"/>
        </w:rPr>
      </w:pPr>
    </w:p>
    <w:p w14:paraId="2AE0A4DA">
      <w:pPr>
        <w:pStyle w:val="5"/>
        <w:ind w:firstLine="0" w:firstLineChars="0"/>
        <w:rPr>
          <w:rFonts w:hint="eastAsia"/>
          <w:lang w:eastAsia="zh-CN"/>
        </w:rPr>
      </w:pPr>
    </w:p>
    <w:p w14:paraId="1B7CA370">
      <w:pPr>
        <w:pStyle w:val="5"/>
        <w:ind w:firstLine="0" w:firstLineChars="0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标准编制组</w:t>
      </w:r>
    </w:p>
    <w:p w14:paraId="1796AEE5">
      <w:pPr>
        <w:pStyle w:val="5"/>
        <w:ind w:firstLine="0" w:firstLineChars="0"/>
        <w:jc w:val="center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rFonts w:hint="eastAsia"/>
          <w:sz w:val="28"/>
          <w:szCs w:val="28"/>
          <w:lang w:eastAsia="zh-CN"/>
        </w:rPr>
        <w:t>年</w:t>
      </w:r>
      <w:r>
        <w:rPr>
          <w:rFonts w:hint="eastAsia"/>
          <w:sz w:val="28"/>
          <w:szCs w:val="28"/>
          <w:lang w:val="en-US" w:eastAsia="zh-CN"/>
        </w:rPr>
        <w:t>11</w:t>
      </w:r>
      <w:r>
        <w:rPr>
          <w:rFonts w:hint="eastAsia"/>
          <w:sz w:val="28"/>
          <w:szCs w:val="28"/>
          <w:lang w:eastAsia="zh-CN"/>
        </w:rPr>
        <w:t>月</w:t>
      </w:r>
    </w:p>
    <w:p w14:paraId="0AC04B4E">
      <w:pPr>
        <w:pStyle w:val="5"/>
        <w:ind w:firstLine="420"/>
        <w:rPr>
          <w:lang w:eastAsia="zh-CN"/>
        </w:rPr>
        <w:sectPr>
          <w:headerReference r:id="rId5" w:type="default"/>
          <w:footerReference r:id="rId6" w:type="default"/>
          <w:type w:val="continuous"/>
          <w:pgSz w:w="11910" w:h="16840"/>
          <w:pgMar w:top="1600" w:right="980" w:bottom="280" w:left="1300" w:header="720" w:footer="720" w:gutter="0"/>
          <w:pgNumType w:fmt="upperRoman"/>
          <w:cols w:space="720" w:num="1"/>
        </w:sectPr>
      </w:pPr>
    </w:p>
    <w:p w14:paraId="2E923FDD">
      <w:pPr>
        <w:pStyle w:val="5"/>
        <w:ind w:firstLine="42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《民用爆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>破器材</w:t>
      </w:r>
      <w:bookmarkStart w:id="2" w:name="_GoBack"/>
      <w:bookmarkEnd w:id="2"/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企业安全检查方法  检查表法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val="en-US" w:eastAsia="zh-CN"/>
        </w:rPr>
        <w:t xml:space="preserve">  第1部分：总则</w:t>
      </w: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》</w:t>
      </w:r>
    </w:p>
    <w:p w14:paraId="42516CA6">
      <w:pPr>
        <w:pStyle w:val="5"/>
        <w:ind w:firstLine="420"/>
        <w:jc w:val="center"/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</w:pPr>
      <w:r>
        <w:rPr>
          <w:rFonts w:hint="eastAsia" w:ascii="方正公文小标宋" w:hAnsi="方正公文小标宋" w:eastAsia="方正公文小标宋" w:cs="方正公文小标宋"/>
          <w:sz w:val="30"/>
          <w:szCs w:val="30"/>
          <w:lang w:eastAsia="zh-CN"/>
        </w:rPr>
        <w:t>编制说明</w:t>
      </w:r>
    </w:p>
    <w:p w14:paraId="13AA7282">
      <w:pPr>
        <w:pStyle w:val="5"/>
        <w:ind w:firstLine="420"/>
        <w:rPr>
          <w:rFonts w:hint="eastAsia" w:ascii="黑体" w:hAnsi="黑体" w:eastAsia="黑体"/>
          <w:sz w:val="24"/>
          <w:szCs w:val="24"/>
          <w:lang w:eastAsia="zh-CN"/>
        </w:rPr>
      </w:pPr>
    </w:p>
    <w:p w14:paraId="0E15A71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一、工作概况</w:t>
      </w:r>
    </w:p>
    <w:p w14:paraId="6FB7AFD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ascii="黑体" w:hAnsi="黑体" w:eastAsia="黑体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1、任务来源</w:t>
      </w:r>
    </w:p>
    <w:p w14:paraId="3139C55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2023</w:t>
      </w:r>
      <w:r>
        <w:rPr>
          <w:sz w:val="24"/>
          <w:szCs w:val="24"/>
          <w:highlight w:val="none"/>
          <w:lang w:eastAsia="zh-CN"/>
        </w:rPr>
        <w:t>年10月2</w:t>
      </w:r>
      <w:r>
        <w:rPr>
          <w:rFonts w:hint="eastAsia"/>
          <w:sz w:val="24"/>
          <w:szCs w:val="24"/>
          <w:highlight w:val="none"/>
          <w:lang w:val="en-US" w:eastAsia="zh-CN"/>
        </w:rPr>
        <w:t>3</w:t>
      </w:r>
      <w:r>
        <w:rPr>
          <w:sz w:val="24"/>
          <w:szCs w:val="24"/>
          <w:highlight w:val="none"/>
          <w:lang w:eastAsia="zh-CN"/>
        </w:rPr>
        <w:t>日</w:t>
      </w:r>
      <w:r>
        <w:rPr>
          <w:rFonts w:hint="eastAsia"/>
          <w:sz w:val="24"/>
          <w:szCs w:val="24"/>
          <w:highlight w:val="none"/>
          <w:lang w:eastAsia="zh-CN"/>
        </w:rPr>
        <w:t>，</w:t>
      </w:r>
      <w:r>
        <w:rPr>
          <w:rFonts w:hint="eastAsia"/>
          <w:sz w:val="24"/>
          <w:szCs w:val="24"/>
          <w:highlight w:val="none"/>
          <w:lang w:val="en-US" w:eastAsia="zh-CN"/>
        </w:rPr>
        <w:t>工业和信息化部办公厅</w:t>
      </w:r>
      <w:r>
        <w:rPr>
          <w:rFonts w:hint="eastAsia"/>
          <w:sz w:val="24"/>
          <w:szCs w:val="24"/>
          <w:highlight w:val="none"/>
          <w:lang w:eastAsia="zh-CN"/>
        </w:rPr>
        <w:t>下发《关于</w:t>
      </w:r>
      <w:r>
        <w:rPr>
          <w:rFonts w:hint="eastAsia"/>
          <w:sz w:val="24"/>
          <w:szCs w:val="24"/>
          <w:highlight w:val="none"/>
          <w:lang w:val="en-US" w:eastAsia="zh-CN"/>
        </w:rPr>
        <w:t>印发2023年第三批行业标准制修订和外文版项目计划的通知</w:t>
      </w:r>
      <w:r>
        <w:rPr>
          <w:rFonts w:hint="eastAsia"/>
          <w:sz w:val="24"/>
          <w:szCs w:val="24"/>
          <w:highlight w:val="none"/>
          <w:lang w:eastAsia="zh-CN"/>
        </w:rPr>
        <w:t>》（</w:t>
      </w:r>
      <w:r>
        <w:rPr>
          <w:rFonts w:hint="eastAsia"/>
          <w:sz w:val="24"/>
          <w:szCs w:val="24"/>
          <w:highlight w:val="none"/>
          <w:lang w:val="en-US" w:eastAsia="zh-CN"/>
        </w:rPr>
        <w:t>工信厅函[2023]291号</w:t>
      </w:r>
      <w:r>
        <w:rPr>
          <w:rFonts w:hint="eastAsia"/>
          <w:sz w:val="24"/>
          <w:szCs w:val="24"/>
          <w:highlight w:val="none"/>
          <w:lang w:eastAsia="zh-CN"/>
        </w:rPr>
        <w:t>）。由</w:t>
      </w:r>
      <w:r>
        <w:rPr>
          <w:rFonts w:hint="eastAsia"/>
          <w:sz w:val="24"/>
          <w:szCs w:val="24"/>
          <w:highlight w:val="none"/>
          <w:lang w:val="en-US" w:eastAsia="zh-CN"/>
        </w:rPr>
        <w:t>中国兵器工业标准化研究所</w:t>
      </w:r>
      <w:r>
        <w:rPr>
          <w:rFonts w:hint="eastAsia"/>
          <w:sz w:val="24"/>
          <w:szCs w:val="24"/>
          <w:highlight w:val="none"/>
          <w:lang w:eastAsia="zh-CN"/>
        </w:rPr>
        <w:t xml:space="preserve">作为主要起草单位牵头开展《民用爆破器材企业安全检查方法 </w:t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/>
          <w:sz w:val="24"/>
          <w:szCs w:val="24"/>
          <w:highlight w:val="none"/>
          <w:lang w:eastAsia="zh-CN"/>
        </w:rPr>
        <w:t>检查表法》</w:t>
      </w:r>
      <w:r>
        <w:rPr>
          <w:rFonts w:hint="eastAsia"/>
          <w:sz w:val="24"/>
          <w:szCs w:val="24"/>
          <w:highlight w:val="none"/>
          <w:lang w:val="en-US" w:eastAsia="zh-CN"/>
        </w:rPr>
        <w:t>七项系列标准</w:t>
      </w:r>
      <w:r>
        <w:rPr>
          <w:rFonts w:hint="eastAsia"/>
          <w:sz w:val="24"/>
          <w:szCs w:val="24"/>
          <w:highlight w:val="none"/>
          <w:lang w:eastAsia="zh-CN"/>
        </w:rPr>
        <w:t>的制修订工作，</w:t>
      </w:r>
      <w:r>
        <w:rPr>
          <w:rFonts w:hint="eastAsia"/>
          <w:sz w:val="24"/>
          <w:szCs w:val="24"/>
          <w:highlight w:val="none"/>
          <w:lang w:val="en-US" w:eastAsia="zh-CN"/>
        </w:rPr>
        <w:t>参编单位包括北京安联国科科技咨询有限公司、江阳兴安民爆器材有限公司、四川雅化实业集团股份有限公司、川南航天能源科技有限公司等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10559E5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2、主要任务</w:t>
      </w:r>
    </w:p>
    <w:p w14:paraId="247F2A1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安全检查方法是民爆行业安全监管的常用手段，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2012版《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民用爆破器材企业安全检查方法  检查表法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WJ 9075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.(1-7)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实施以来，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行业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安全监管、企业安全管理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中发挥了重要作用。鉴于近年来国家和民爆行业先后发布了新的安全生产法、《“十四五”民用爆炸物品行业安全发展规划》（工信部规〔2021〕183号）、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《加快推进民用爆炸物品行业转型升级实施意见》（工信部安全〔2025〕41号）、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《民用爆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炸物品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工程设计安全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》（GB50089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-2018）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、《民用爆炸物品生产、销售企业安全管理规程》（GB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28263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）等法律、法规、标准和规章，原WJ 9075标准中引用的相关依据有较多变化改变，亟待修订检查内容；原标准中尚缺少个别民爆小品种产品，应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加以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补充，以便更好指导民爆行业安全检查、安全监管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和管理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4413BF8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</w:p>
    <w:p w14:paraId="52C6C1A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ascii="黑体" w:hAnsi="黑体" w:eastAsia="黑体"/>
          <w:sz w:val="24"/>
          <w:szCs w:val="24"/>
          <w:lang w:eastAsia="zh-CN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二、标准制修订的主要工作及过程</w:t>
      </w:r>
    </w:p>
    <w:p w14:paraId="33B214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1、修订任务分工</w:t>
      </w:r>
    </w:p>
    <w:p w14:paraId="429E4BF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20</w:t>
      </w:r>
      <w:r>
        <w:rPr>
          <w:rFonts w:hint="eastAsia"/>
          <w:sz w:val="24"/>
          <w:szCs w:val="24"/>
          <w:lang w:val="en-US" w:eastAsia="zh-CN"/>
        </w:rPr>
        <w:t>22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以来</w:t>
      </w:r>
      <w:r>
        <w:rPr>
          <w:rFonts w:hint="eastAsia" w:ascii="宋体" w:hAnsi="宋体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修改任务立项后，</w:t>
      </w:r>
      <w:r>
        <w:rPr>
          <w:rFonts w:hint="eastAsia" w:ascii="宋体" w:hAnsi="宋体"/>
          <w:sz w:val="24"/>
          <w:szCs w:val="24"/>
        </w:rPr>
        <w:t>中国兵器工业标准化研究所</w:t>
      </w:r>
      <w:r>
        <w:rPr>
          <w:rFonts w:hint="eastAsia" w:ascii="宋体" w:hAnsi="宋体"/>
          <w:sz w:val="24"/>
          <w:szCs w:val="24"/>
          <w:lang w:val="en-US" w:eastAsia="zh-CN"/>
        </w:rPr>
        <w:t>作为标准主编单位，</w:t>
      </w:r>
      <w:r>
        <w:rPr>
          <w:rFonts w:hint="eastAsia" w:ascii="宋体" w:hAnsi="宋体"/>
          <w:sz w:val="24"/>
          <w:szCs w:val="24"/>
        </w:rPr>
        <w:t>根据该标准编制</w:t>
      </w:r>
      <w:r>
        <w:rPr>
          <w:rFonts w:hint="eastAsia"/>
          <w:sz w:val="24"/>
          <w:szCs w:val="24"/>
          <w:lang w:val="en-US" w:eastAsia="zh-CN"/>
        </w:rPr>
        <w:t>修改</w:t>
      </w:r>
      <w:r>
        <w:rPr>
          <w:rFonts w:hint="eastAsia" w:ascii="宋体" w:hAnsi="宋体"/>
          <w:sz w:val="24"/>
          <w:szCs w:val="24"/>
        </w:rPr>
        <w:t>要求和民爆行业安全检查</w:t>
      </w:r>
      <w:r>
        <w:rPr>
          <w:rFonts w:hint="eastAsia"/>
          <w:sz w:val="24"/>
          <w:szCs w:val="24"/>
          <w:lang w:eastAsia="zh-CN"/>
        </w:rPr>
        <w:t>、</w:t>
      </w:r>
      <w:r>
        <w:rPr>
          <w:rFonts w:hint="eastAsia"/>
          <w:sz w:val="24"/>
          <w:szCs w:val="24"/>
          <w:lang w:val="en-US" w:eastAsia="zh-CN"/>
        </w:rPr>
        <w:t>监管</w:t>
      </w:r>
      <w:r>
        <w:rPr>
          <w:rFonts w:hint="eastAsia" w:ascii="宋体" w:hAnsi="宋体"/>
          <w:sz w:val="24"/>
          <w:szCs w:val="24"/>
        </w:rPr>
        <w:t>的具体情况，组织成立了由肖月华、</w:t>
      </w:r>
      <w:r>
        <w:rPr>
          <w:rFonts w:hint="eastAsia"/>
          <w:sz w:val="24"/>
          <w:szCs w:val="24"/>
          <w:lang w:val="en-US" w:eastAsia="zh-CN"/>
        </w:rPr>
        <w:t>田野、</w:t>
      </w:r>
      <w:r>
        <w:rPr>
          <w:rFonts w:hint="eastAsia" w:ascii="宋体" w:hAnsi="宋体"/>
          <w:sz w:val="24"/>
          <w:szCs w:val="24"/>
        </w:rPr>
        <w:t>王春乐、</w:t>
      </w:r>
      <w:r>
        <w:rPr>
          <w:rFonts w:hint="eastAsia"/>
          <w:sz w:val="24"/>
          <w:szCs w:val="24"/>
          <w:lang w:val="en-US" w:eastAsia="zh-CN"/>
        </w:rPr>
        <w:t>晃光艳等</w:t>
      </w:r>
      <w:r>
        <w:rPr>
          <w:rFonts w:hint="eastAsia" w:ascii="宋体" w:hAnsi="宋体"/>
          <w:sz w:val="24"/>
          <w:szCs w:val="24"/>
        </w:rPr>
        <w:t>为主要成员的标准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 w:ascii="宋体" w:hAnsi="宋体"/>
          <w:sz w:val="24"/>
          <w:szCs w:val="24"/>
        </w:rPr>
        <w:t>编制组，编制组成员对该标准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 w:ascii="宋体" w:hAnsi="宋体"/>
          <w:sz w:val="24"/>
          <w:szCs w:val="24"/>
        </w:rPr>
        <w:t>应包含的内容、安全检查应覆盖的范围以及标准的结构框架等进行了调研和分析。考虑到作为行业安全检查涉及各专业和各类企业，经研究扩大了编制组成员范围。</w:t>
      </w:r>
    </w:p>
    <w:p w14:paraId="31619ED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2、</w:t>
      </w:r>
      <w:r>
        <w:rPr>
          <w:rFonts w:hint="eastAsia"/>
          <w:sz w:val="24"/>
          <w:szCs w:val="24"/>
          <w:lang w:val="en-US" w:eastAsia="zh-CN"/>
        </w:rPr>
        <w:t>修订</w:t>
      </w:r>
      <w:r>
        <w:rPr>
          <w:rFonts w:hint="eastAsia"/>
          <w:sz w:val="24"/>
          <w:szCs w:val="24"/>
          <w:lang w:eastAsia="zh-CN"/>
        </w:rPr>
        <w:t>工作过程</w:t>
      </w:r>
    </w:p>
    <w:p w14:paraId="0917A22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项目自20</w:t>
      </w:r>
      <w:r>
        <w:rPr>
          <w:sz w:val="24"/>
          <w:szCs w:val="24"/>
          <w:lang w:eastAsia="zh-CN"/>
        </w:rPr>
        <w:t>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>月启动相关工作，制修订过程如下：</w:t>
      </w:r>
    </w:p>
    <w:p w14:paraId="0AFDC8A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第一阶段：标准制修订立项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调研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和修订依据收集工作</w:t>
      </w:r>
    </w:p>
    <w:p w14:paraId="798F2B8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修订编制组收集调研了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《中华人民共和国安全生产法》(十三届主席令第88号)、《工伤保险条例》(国务院令第375号，国务院令第586号修订)、《财政部 应急部关于印发&lt;企业安全生产费用提取和使用管理办法&gt;的通知》(财资[2022]136号)、《民用爆炸物品生产和销售企业安全生产培训管理办法》（工信厅安全[2018]77号）、《民爆行业安全生产专项整治三年行动工作方案的通知》（工信厅安全〔2020〕26号)、《“十四五”民用爆炸物品行业安全发展规划》（工信部规〔2021〕183号）、《关于进一步加强民用爆炸物品重大危险源管理工作的通知》（工信厅安全[2022]14号）、《民用爆炸物品行业重大事故隐患判定标准》（工信部安全【2024】234号）、《加快推进民用爆炸物品行业转型升级实施意见》（工信部安全〔2025〕41号）、《民用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炸物品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工程设计安全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标准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》（GB50089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-2018）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、《民用爆炸物品生产、销售企业安全管理规程》（GB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28263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2024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相关文件，作为标准修订编制的依据。</w:t>
      </w:r>
    </w:p>
    <w:p w14:paraId="1C8C051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同时，修订编制组对近十几年来的安全事故进行了梳理分析，如2009年7月18日湘潭市民爆公司5吨炸药库爆炸、2005年6月1日安徽雷鸣公司水胶炸药线爆炸事故、2011年5月11日河北丰华爆破公司，0.98吨炸药爆炸、2013年3月21日江铜股份公司乳化炸药现场混装车上残药100多公斤爆炸事故、2014年3月7日唐山开滦公司乳化炸药生产线约3吨乳化炸药爆炸、2015年10月21日山东天宝公司起爆具生产线爆炸事故、2017年南京理工科技化工公司等三起工业雷管生产安全事故等。经对以上多个事故案例爆炸后的破坏情况、导致事故的技术和管理因素分析，为标准修定提供了参考依据。</w:t>
      </w:r>
    </w:p>
    <w:p w14:paraId="2A8BCD5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54327508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第二阶段：标准制修订阶段</w:t>
      </w:r>
    </w:p>
    <w:p w14:paraId="2265CCE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1）2021年06月：安全司提出立项申请</w:t>
      </w:r>
      <w:r>
        <w:rPr>
          <w:rFonts w:hint="eastAsia"/>
          <w:sz w:val="24"/>
          <w:szCs w:val="24"/>
          <w:lang w:val="en-US" w:eastAsia="zh-CN"/>
        </w:rPr>
        <w:t>，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修订编制组提出了标准修订的框架；</w:t>
      </w:r>
    </w:p>
    <w:p w14:paraId="2A2BE8A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2）2023年12月：行业标准立项</w:t>
      </w:r>
      <w:r>
        <w:rPr>
          <w:rFonts w:hint="eastAsia"/>
          <w:sz w:val="24"/>
          <w:szCs w:val="24"/>
          <w:lang w:val="en-US" w:eastAsia="zh-CN"/>
        </w:rPr>
        <w:t>得到</w:t>
      </w:r>
      <w:r>
        <w:rPr>
          <w:rFonts w:hint="eastAsia"/>
          <w:sz w:val="24"/>
          <w:szCs w:val="24"/>
          <w:lang w:eastAsia="zh-CN"/>
        </w:rPr>
        <w:t>批复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6BCD7B6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3）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08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：各修订编制组完成了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民用爆破器材企业安全检查方法  检查表法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WJ 9075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.(1-7)的初稿</w:t>
      </w:r>
      <w:r>
        <w:rPr>
          <w:rFonts w:hint="eastAsia"/>
          <w:sz w:val="24"/>
          <w:szCs w:val="24"/>
          <w:lang w:val="en-US" w:eastAsia="zh-CN"/>
        </w:rPr>
        <w:t>；</w:t>
      </w:r>
    </w:p>
    <w:p w14:paraId="4DC6A8D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left="418" w:leftChars="19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3）</w:t>
      </w:r>
      <w:r>
        <w:rPr>
          <w:rFonts w:hint="eastAsia"/>
          <w:sz w:val="24"/>
          <w:szCs w:val="24"/>
          <w:lang w:eastAsia="zh-CN"/>
        </w:rPr>
        <w:t>202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eastAsia"/>
          <w:sz w:val="24"/>
          <w:szCs w:val="24"/>
          <w:lang w:eastAsia="zh-CN"/>
        </w:rPr>
        <w:t>年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月</w:t>
      </w:r>
      <w:r>
        <w:rPr>
          <w:rFonts w:hint="eastAsia"/>
          <w:sz w:val="24"/>
          <w:szCs w:val="24"/>
          <w:lang w:val="en-US" w:eastAsia="zh-CN"/>
        </w:rPr>
        <w:t>15日</w:t>
      </w:r>
      <w:r>
        <w:rPr>
          <w:rFonts w:hint="eastAsia"/>
          <w:sz w:val="24"/>
          <w:szCs w:val="24"/>
          <w:lang w:eastAsia="zh-CN"/>
        </w:rPr>
        <w:t>：</w:t>
      </w:r>
      <w:r>
        <w:rPr>
          <w:rFonts w:hint="eastAsia"/>
          <w:sz w:val="24"/>
          <w:szCs w:val="24"/>
          <w:lang w:val="en-US" w:eastAsia="zh-CN"/>
        </w:rPr>
        <w:t>由</w:t>
      </w:r>
      <w:r>
        <w:rPr>
          <w:rFonts w:hint="eastAsia"/>
          <w:sz w:val="24"/>
          <w:szCs w:val="24"/>
          <w:lang w:eastAsia="zh-CN"/>
        </w:rPr>
        <w:t>中国兵器工业标准化研究所</w:t>
      </w:r>
      <w:r>
        <w:rPr>
          <w:rFonts w:hint="eastAsia"/>
          <w:sz w:val="24"/>
          <w:szCs w:val="24"/>
          <w:lang w:val="en-US" w:eastAsia="zh-CN"/>
        </w:rPr>
        <w:t>主持召开标准修订初稿进行研讨审查会；</w:t>
      </w:r>
    </w:p>
    <w:p w14:paraId="2E9A0C9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left="418" w:leftChars="190"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2025年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月：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在前期研讨的基础上，各修订编制组完成了标准的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征求意见稿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</w:t>
      </w:r>
    </w:p>
    <w:p w14:paraId="1CA783F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 w14:paraId="6BEFC18A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三、标准制修订原则和主要内容</w:t>
      </w:r>
    </w:p>
    <w:p w14:paraId="67E0BB7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（一）标准制修订原则</w:t>
      </w:r>
    </w:p>
    <w:p w14:paraId="33840F6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本标准的制修订立足于我国</w:t>
      </w:r>
      <w:r>
        <w:rPr>
          <w:rFonts w:hint="eastAsia"/>
          <w:sz w:val="24"/>
          <w:szCs w:val="24"/>
          <w:lang w:val="en-US" w:eastAsia="zh-CN"/>
        </w:rPr>
        <w:t>民爆行业的技术</w:t>
      </w:r>
      <w:r>
        <w:rPr>
          <w:rFonts w:hint="eastAsia"/>
          <w:sz w:val="24"/>
          <w:szCs w:val="24"/>
          <w:lang w:eastAsia="zh-CN"/>
        </w:rPr>
        <w:t>发展情况，分析和研究了国</w:t>
      </w:r>
      <w:r>
        <w:rPr>
          <w:rFonts w:hint="eastAsia"/>
          <w:sz w:val="24"/>
          <w:szCs w:val="24"/>
          <w:lang w:val="en-US" w:eastAsia="zh-CN"/>
        </w:rPr>
        <w:t>家行业的最新安全、生产和技术发展要求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在保持原标准基本结构的基础进行完美修订</w:t>
      </w:r>
      <w:r>
        <w:rPr>
          <w:rFonts w:hint="eastAsia"/>
          <w:sz w:val="24"/>
          <w:szCs w:val="24"/>
          <w:lang w:eastAsia="zh-CN"/>
        </w:rPr>
        <w:t>。</w:t>
      </w:r>
      <w:r>
        <w:rPr>
          <w:rFonts w:hint="eastAsia"/>
          <w:sz w:val="24"/>
          <w:szCs w:val="24"/>
          <w:lang w:val="en-US" w:eastAsia="zh-CN"/>
        </w:rPr>
        <w:t>主要原则有：</w:t>
      </w:r>
    </w:p>
    <w:p w14:paraId="6B01DD3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（1）体现唯一性：</w:t>
      </w:r>
      <w:r>
        <w:rPr>
          <w:rFonts w:hint="eastAsia"/>
          <w:sz w:val="24"/>
          <w:szCs w:val="24"/>
          <w:lang w:val="en-US" w:eastAsia="zh-CN"/>
        </w:rPr>
        <w:t>依据最新的民爆行业安全文件，</w:t>
      </w:r>
      <w:r>
        <w:rPr>
          <w:rFonts w:hint="eastAsia" w:ascii="宋体" w:hAnsi="宋体"/>
          <w:sz w:val="24"/>
          <w:szCs w:val="24"/>
        </w:rPr>
        <w:t>对民用爆</w:t>
      </w:r>
      <w:r>
        <w:rPr>
          <w:rFonts w:hint="eastAsia"/>
          <w:sz w:val="24"/>
          <w:szCs w:val="24"/>
          <w:lang w:val="en-US" w:eastAsia="zh-CN"/>
        </w:rPr>
        <w:t>炸物品</w:t>
      </w:r>
      <w:r>
        <w:rPr>
          <w:rFonts w:hint="eastAsia" w:ascii="宋体" w:hAnsi="宋体"/>
          <w:sz w:val="24"/>
          <w:szCs w:val="24"/>
        </w:rPr>
        <w:t>行业各生产、销售企业的安全检查及评判应有统一的标准，本标准的制定避免了安全检查过程中检查和评判人员的人为因素。</w:t>
      </w:r>
    </w:p>
    <w:p w14:paraId="3D88650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（2）体现安全第一：检查项目、评分标准等的设置应以发现生产中的安全隐患为首要目的，通过检查，提高企业全员的安全意识，督促企业消除安全隐患。</w:t>
      </w:r>
    </w:p>
    <w:p w14:paraId="0718825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（3）体现技术进步：以本标准为依据对民爆行业生产、销售企业进行安全检查，对检查发现的问题及时采取措施并改进，以此推动企业的技术进步。</w:t>
      </w:r>
    </w:p>
    <w:p w14:paraId="11B2096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（4）体现可操作性：</w:t>
      </w:r>
      <w:r>
        <w:rPr>
          <w:rFonts w:hint="eastAsia"/>
          <w:sz w:val="24"/>
          <w:szCs w:val="24"/>
          <w:lang w:val="en-US" w:eastAsia="zh-CN"/>
        </w:rPr>
        <w:t>在原标准的基础上，进一步简化</w:t>
      </w:r>
      <w:r>
        <w:rPr>
          <w:rFonts w:hint="eastAsia" w:ascii="宋体" w:hAnsi="宋体"/>
          <w:sz w:val="24"/>
          <w:szCs w:val="24"/>
        </w:rPr>
        <w:t>检查</w:t>
      </w:r>
      <w:r>
        <w:rPr>
          <w:rFonts w:hint="eastAsia"/>
          <w:sz w:val="24"/>
          <w:szCs w:val="24"/>
          <w:lang w:val="en-US" w:eastAsia="zh-CN"/>
        </w:rPr>
        <w:t>统计方法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 w:ascii="宋体" w:hAnsi="宋体"/>
          <w:sz w:val="24"/>
          <w:szCs w:val="24"/>
        </w:rPr>
        <w:t>结合大多数企业的生产现状和实际情况，</w:t>
      </w:r>
      <w:r>
        <w:rPr>
          <w:rFonts w:hint="eastAsia"/>
          <w:sz w:val="24"/>
          <w:szCs w:val="24"/>
          <w:lang w:val="en-US" w:eastAsia="zh-CN"/>
        </w:rPr>
        <w:t>使安全检查过程</w:t>
      </w:r>
      <w:r>
        <w:rPr>
          <w:rFonts w:hint="eastAsia" w:ascii="宋体" w:hAnsi="宋体"/>
          <w:sz w:val="24"/>
          <w:szCs w:val="24"/>
        </w:rPr>
        <w:t>可操作性强。</w:t>
      </w:r>
    </w:p>
    <w:p w14:paraId="4F7D846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</w:rPr>
        <w:t>（</w:t>
      </w:r>
      <w:r>
        <w:rPr>
          <w:rFonts w:hint="eastAsia" w:ascii="黑体" w:hAnsi="宋体" w:eastAsia="黑体"/>
          <w:sz w:val="24"/>
          <w:szCs w:val="24"/>
        </w:rPr>
        <w:t>5）</w:t>
      </w:r>
      <w:r>
        <w:rPr>
          <w:rFonts w:hint="eastAsia" w:ascii="宋体" w:hAnsi="宋体"/>
          <w:sz w:val="24"/>
          <w:szCs w:val="24"/>
        </w:rPr>
        <w:t>标准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的编写符合GB/T 1.1—2020《标准化工作导则 第 1 部分：标准化文件的结构和起草规则》的要示。</w:t>
      </w:r>
    </w:p>
    <w:p w14:paraId="17CC3E4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</w:p>
    <w:p w14:paraId="6C4FE072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color w:val="auto"/>
          <w:sz w:val="24"/>
          <w:szCs w:val="24"/>
        </w:rPr>
      </w:pPr>
      <w:r>
        <w:rPr>
          <w:rFonts w:hint="eastAsia" w:hAnsi="黑体" w:cs="宋体"/>
          <w:color w:val="auto"/>
          <w:sz w:val="24"/>
          <w:szCs w:val="24"/>
        </w:rPr>
        <w:t>（二）主要内容</w:t>
      </w:r>
    </w:p>
    <w:p w14:paraId="4F62632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1、本标准规定了</w:t>
      </w:r>
      <w:r>
        <w:rPr>
          <w:rFonts w:hint="eastAsia"/>
          <w:sz w:val="24"/>
          <w:szCs w:val="24"/>
          <w:lang w:eastAsia="zh-CN"/>
        </w:rPr>
        <w:t>民用爆炸物品</w:t>
      </w:r>
      <w:r>
        <w:rPr>
          <w:rFonts w:hint="eastAsia"/>
          <w:sz w:val="24"/>
          <w:szCs w:val="24"/>
        </w:rPr>
        <w:t>企业</w:t>
      </w:r>
      <w:r>
        <w:rPr>
          <w:rFonts w:hint="eastAsia" w:ascii="Times New Roman" w:hAnsi="Times New Roman" w:eastAsia="宋体" w:cs="Times New Roman"/>
          <w:sz w:val="24"/>
          <w:szCs w:val="24"/>
        </w:rPr>
        <w:t>安全检查内容及检查表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判定及结论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sz w:val="24"/>
          <w:szCs w:val="24"/>
        </w:rPr>
        <w:t>安全检查报告的编制</w:t>
      </w:r>
      <w:r>
        <w:rPr>
          <w:rFonts w:hint="eastAsia"/>
          <w:sz w:val="24"/>
          <w:szCs w:val="24"/>
        </w:rPr>
        <w:t>要求</w:t>
      </w:r>
      <w:r>
        <w:rPr>
          <w:rFonts w:hint="eastAsia" w:ascii="宋体" w:hAnsi="宋体"/>
          <w:color w:val="auto"/>
          <w:sz w:val="24"/>
          <w:szCs w:val="24"/>
        </w:rPr>
        <w:t>。</w:t>
      </w:r>
      <w:r>
        <w:rPr>
          <w:rFonts w:hint="eastAsia"/>
          <w:sz w:val="24"/>
          <w:szCs w:val="24"/>
        </w:rPr>
        <w:t>本</w:t>
      </w:r>
      <w:r>
        <w:rPr>
          <w:rFonts w:hint="eastAsia"/>
          <w:sz w:val="24"/>
          <w:szCs w:val="24"/>
          <w:lang w:val="en-US" w:eastAsia="zh-CN"/>
        </w:rPr>
        <w:t>文件</w:t>
      </w:r>
      <w:r>
        <w:rPr>
          <w:rFonts w:hint="eastAsia"/>
          <w:sz w:val="24"/>
          <w:szCs w:val="24"/>
        </w:rPr>
        <w:t>适用于</w:t>
      </w:r>
      <w:r>
        <w:rPr>
          <w:rFonts w:hint="eastAsia"/>
          <w:sz w:val="24"/>
          <w:szCs w:val="24"/>
          <w:lang w:eastAsia="zh-CN"/>
        </w:rPr>
        <w:t>民用爆炸物品</w:t>
      </w:r>
      <w:r>
        <w:rPr>
          <w:rFonts w:hint="eastAsia"/>
          <w:sz w:val="24"/>
          <w:szCs w:val="24"/>
        </w:rPr>
        <w:t>行业生产企业和销售企业的安全检查</w:t>
      </w:r>
      <w:r>
        <w:rPr>
          <w:rFonts w:hint="eastAsia"/>
          <w:sz w:val="24"/>
          <w:szCs w:val="24"/>
          <w:lang w:eastAsia="zh-CN"/>
        </w:rPr>
        <w:t>。</w:t>
      </w:r>
    </w:p>
    <w:p w14:paraId="0C83DFF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/>
          <w:color w:val="auto"/>
          <w:sz w:val="24"/>
          <w:szCs w:val="24"/>
          <w:lang w:eastAsia="zh-CN"/>
        </w:rPr>
        <w:t>2、本标准技术内容的编写主要依据：</w:t>
      </w:r>
    </w:p>
    <w:p w14:paraId="011B172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color w:val="auto"/>
          <w:sz w:val="24"/>
          <w:szCs w:val="24"/>
          <w:lang w:eastAsia="zh-CN"/>
        </w:rPr>
      </w:pPr>
      <w:r>
        <w:rPr>
          <w:rFonts w:hint="eastAsia" w:cs="宋体"/>
          <w:sz w:val="24"/>
          <w:szCs w:val="24"/>
          <w:lang w:val="en-US" w:eastAsia="zh-CN"/>
        </w:rPr>
        <w:t>本标准的修订取依据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《中华人民共和国安全生产法》(十三届主席令第88号)、《工伤保险条例》(国务院令第375号，国务院令第586号修订)、《财政部 应急部关于印发&lt;企业安全生产费用提取和使用管理办法&gt;的通知》(财资[2022]136号)、《民用爆炸物品生产和销售企业安全生产培训管理办法》（工信厅安全[2018]77号）、《民爆行业安全生产专项整治三年行动工作方案的通知》（工信厅安全〔2020〕26号)、《“十四五”民用爆炸物品行业安全发展规划》（工信部规〔2021〕183号）、《关于进一步加强民用爆炸物品重大危险源管理工作的通知》（工信厅安全[2022]14号）、《民用爆炸物品行业重大事故隐患判定标准》（工信部安全【2024】234号）、《加快推进民用爆炸物品行业转型升级实施意见》（工信部安全〔2025〕41号）</w:t>
      </w:r>
      <w:r>
        <w:rPr>
          <w:rFonts w:hint="eastAsia" w:cs="宋体"/>
          <w:sz w:val="24"/>
          <w:szCs w:val="24"/>
          <w:lang w:val="en-US" w:eastAsia="zh-CN"/>
        </w:rPr>
        <w:t>等法律法规规定外，主要依据以下标准：</w:t>
      </w:r>
    </w:p>
    <w:p w14:paraId="3A33AAB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bookmarkStart w:id="0" w:name="1）GB/T_1__________《标准化工作导则》"/>
      <w:bookmarkEnd w:id="0"/>
      <w:r>
        <w:rPr>
          <w:rFonts w:hint="eastAsia"/>
          <w:sz w:val="24"/>
          <w:szCs w:val="24"/>
          <w:lang w:eastAsia="zh-CN"/>
        </w:rPr>
        <w:t>（1）GB/T 1.1《标准化工作导则》</w:t>
      </w:r>
    </w:p>
    <w:p w14:paraId="444D52A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（2）</w:t>
      </w:r>
      <w:bookmarkStart w:id="1" w:name="_Hlk97016919"/>
      <w:r>
        <w:rPr>
          <w:rFonts w:hint="eastAsia"/>
          <w:sz w:val="24"/>
          <w:szCs w:val="24"/>
          <w:lang w:eastAsia="zh-CN"/>
        </w:rPr>
        <w:t xml:space="preserve">GB </w:t>
      </w:r>
      <w:r>
        <w:rPr>
          <w:rFonts w:hint="eastAsia"/>
          <w:sz w:val="24"/>
          <w:szCs w:val="24"/>
          <w:lang w:val="en-US" w:eastAsia="zh-CN"/>
        </w:rPr>
        <w:t>28263</w:t>
      </w:r>
      <w:r>
        <w:rPr>
          <w:rFonts w:hint="eastAsia"/>
          <w:sz w:val="24"/>
          <w:szCs w:val="24"/>
          <w:lang w:eastAsia="zh-CN"/>
        </w:rPr>
        <w:t xml:space="preserve"> </w:t>
      </w:r>
      <w:bookmarkEnd w:id="1"/>
      <w:r>
        <w:rPr>
          <w:rFonts w:hint="eastAsia"/>
          <w:sz w:val="24"/>
          <w:szCs w:val="24"/>
          <w:lang w:eastAsia="zh-CN"/>
        </w:rPr>
        <w:t>《民用爆炸物品生产、</w:t>
      </w:r>
      <w:r>
        <w:rPr>
          <w:rFonts w:hint="default"/>
          <w:sz w:val="24"/>
          <w:szCs w:val="24"/>
          <w:lang w:eastAsia="zh-CN"/>
        </w:rPr>
        <w:t>销售企业安全管理规程</w:t>
      </w:r>
      <w:r>
        <w:rPr>
          <w:rFonts w:hint="eastAsia"/>
          <w:sz w:val="24"/>
          <w:szCs w:val="24"/>
          <w:lang w:eastAsia="zh-CN"/>
        </w:rPr>
        <w:t>》</w:t>
      </w:r>
    </w:p>
    <w:p w14:paraId="23A3CA6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（3）GB 50089《民用爆炸物品工程设计安全标准》</w:t>
      </w:r>
    </w:p>
    <w:p w14:paraId="3C6F25C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）GB 55037-2022《建筑防火通用规范》</w:t>
      </w:r>
    </w:p>
    <w:p w14:paraId="532B11A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（5）GB 50016-2014，2018版《建筑设计防火规范》</w:t>
      </w:r>
    </w:p>
    <w:p w14:paraId="3CCC432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  <w:lang w:eastAsia="zh-CN"/>
        </w:rPr>
        <w:t>）GB 18218-2018《危险化学品重大危险源辨识》</w:t>
      </w:r>
    </w:p>
    <w:p w14:paraId="0029293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  <w:lang w:eastAsia="zh-CN"/>
        </w:rPr>
        <w:t>）WJ/T9093-2018《民用爆炸物品重大危险源辨识》</w:t>
      </w:r>
    </w:p>
    <w:p w14:paraId="0A11E36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GB 15563-2024《工业炸药制品通用技术条件》</w:t>
      </w:r>
    </w:p>
    <w:p w14:paraId="2E53949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9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  <w:lang w:val="en-US" w:eastAsia="zh-CN"/>
        </w:rPr>
        <w:t>GB 28286-2024《工业炸药通用技术条件》</w:t>
      </w:r>
    </w:p>
    <w:p w14:paraId="7356F987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default"/>
          <w:sz w:val="24"/>
          <w:szCs w:val="24"/>
          <w:lang w:val="en-US" w:eastAsia="zh-CN"/>
        </w:rPr>
        <w:t xml:space="preserve">WJ/T </w:t>
      </w:r>
      <w:r>
        <w:rPr>
          <w:rFonts w:hint="eastAsia"/>
          <w:sz w:val="24"/>
          <w:szCs w:val="24"/>
          <w:lang w:val="en-US" w:eastAsia="zh-CN"/>
        </w:rPr>
        <w:t>9106－2024《民用爆炸物品生产销售企业生产安全事故应急预案编制导则》</w:t>
      </w:r>
    </w:p>
    <w:p w14:paraId="5F32716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11</w:t>
      </w:r>
      <w:r>
        <w:rPr>
          <w:rFonts w:hint="eastAsia"/>
          <w:sz w:val="24"/>
          <w:szCs w:val="24"/>
          <w:lang w:eastAsia="zh-CN"/>
        </w:rPr>
        <w:t>）WJ/T9094-2018工业炸药生产企业硝酸铵溶液储罐（区）安全管理规程</w:t>
      </w:r>
    </w:p>
    <w:p w14:paraId="5417E75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  <w:lang w:eastAsia="zh-CN"/>
        </w:rPr>
        <w:t>）GB/T 13861-2022《生产过程危险和有害因素分类与代码》</w:t>
      </w:r>
    </w:p>
    <w:p w14:paraId="504EA21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13</w:t>
      </w:r>
      <w:r>
        <w:rPr>
          <w:rFonts w:hint="eastAsia"/>
          <w:sz w:val="24"/>
          <w:szCs w:val="24"/>
          <w:lang w:eastAsia="zh-CN"/>
        </w:rPr>
        <w:t>）WJ/T 9100-2022 民用爆炸物品生产、销售企业安全隐患排查治理体系建设指南</w:t>
      </w:r>
    </w:p>
    <w:p w14:paraId="607CED4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14</w:t>
      </w:r>
      <w:r>
        <w:rPr>
          <w:rFonts w:hint="eastAsia"/>
          <w:sz w:val="24"/>
          <w:szCs w:val="24"/>
          <w:lang w:eastAsia="zh-CN"/>
        </w:rPr>
        <w:t>）WJ/T 9101-2022 民用爆炸物品生产、销售企业安全风险分级管控体系 建设指南</w:t>
      </w:r>
    </w:p>
    <w:p w14:paraId="5A8D9ED4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80" w:firstLineChars="200"/>
        <w:textAlignment w:val="auto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3、主要修订内容</w:t>
      </w:r>
    </w:p>
    <w:p w14:paraId="061312C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本标准代替了《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民用爆破器材企业</w:t>
      </w:r>
      <w:r>
        <w:rPr>
          <w:rFonts w:hint="eastAsia"/>
          <w:sz w:val="24"/>
          <w:szCs w:val="24"/>
          <w:highlight w:val="none"/>
          <w:lang w:eastAsia="zh-CN"/>
        </w:rPr>
        <w:t>安全检查方法  检查表法</w:t>
      </w:r>
      <w:r>
        <w:rPr>
          <w:rFonts w:hint="eastAsia"/>
          <w:sz w:val="24"/>
          <w:szCs w:val="24"/>
          <w:highlight w:val="none"/>
          <w:lang w:val="en-US" w:eastAsia="zh-CN"/>
        </w:rPr>
        <w:t xml:space="preserve">  第1部分：总则</w:t>
      </w:r>
      <w:r>
        <w:rPr>
          <w:rFonts w:hint="eastAsia"/>
          <w:sz w:val="24"/>
          <w:szCs w:val="24"/>
          <w:highlight w:val="none"/>
          <w:lang w:eastAsia="zh-CN"/>
        </w:rPr>
        <w:t>》（</w:t>
      </w:r>
      <w:r>
        <w:rPr>
          <w:rFonts w:hint="default"/>
          <w:sz w:val="24"/>
          <w:szCs w:val="24"/>
          <w:highlight w:val="none"/>
          <w:lang w:eastAsia="zh-CN"/>
        </w:rPr>
        <w:t>WJ</w:t>
      </w:r>
      <w:r>
        <w:rPr>
          <w:rFonts w:hint="eastAsia"/>
          <w:sz w:val="24"/>
          <w:szCs w:val="24"/>
          <w:highlight w:val="none"/>
          <w:lang w:eastAsia="zh-CN"/>
        </w:rPr>
        <w:t xml:space="preserve"> 9075.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  <w:lang w:eastAsia="zh-CN"/>
        </w:rPr>
        <w:t>—2012）。</w:t>
      </w:r>
    </w:p>
    <w:p w14:paraId="24C4BF2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本标准与</w:t>
      </w:r>
      <w:r>
        <w:rPr>
          <w:rFonts w:hint="default"/>
          <w:sz w:val="24"/>
          <w:szCs w:val="24"/>
          <w:highlight w:val="none"/>
          <w:lang w:eastAsia="zh-CN"/>
        </w:rPr>
        <w:t>WJ</w:t>
      </w:r>
      <w:r>
        <w:rPr>
          <w:rFonts w:hint="eastAsia"/>
          <w:sz w:val="24"/>
          <w:szCs w:val="24"/>
          <w:highlight w:val="none"/>
          <w:lang w:eastAsia="zh-CN"/>
        </w:rPr>
        <w:t xml:space="preserve"> 9075.</w:t>
      </w:r>
      <w:r>
        <w:rPr>
          <w:rFonts w:hint="eastAsia"/>
          <w:sz w:val="24"/>
          <w:szCs w:val="24"/>
          <w:highlight w:val="none"/>
          <w:lang w:val="en-US" w:eastAsia="zh-CN"/>
        </w:rPr>
        <w:t>1</w:t>
      </w:r>
      <w:r>
        <w:rPr>
          <w:rFonts w:hint="eastAsia"/>
          <w:sz w:val="24"/>
          <w:szCs w:val="24"/>
          <w:highlight w:val="none"/>
          <w:lang w:eastAsia="zh-CN"/>
        </w:rPr>
        <w:t>—2012相比主要变化如下：</w:t>
      </w:r>
    </w:p>
    <w:p w14:paraId="2AE6FB7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eastAsia"/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（1）</w:t>
      </w:r>
      <w:r>
        <w:rPr>
          <w:rFonts w:hint="eastAsia"/>
          <w:sz w:val="24"/>
          <w:szCs w:val="24"/>
          <w:highlight w:val="none"/>
          <w:lang w:val="en-US" w:eastAsia="zh-CN"/>
        </w:rPr>
        <w:t>按</w:t>
      </w:r>
      <w:r>
        <w:rPr>
          <w:rFonts w:hint="eastAsia"/>
          <w:sz w:val="24"/>
          <w:szCs w:val="24"/>
          <w:highlight w:val="none"/>
          <w:lang w:eastAsia="zh-CN"/>
        </w:rPr>
        <w:t>照 《民用爆炸物品安全管理条例》(国务院令第653号令修改)</w:t>
      </w:r>
      <w:r>
        <w:rPr>
          <w:rFonts w:hint="eastAsia"/>
          <w:sz w:val="24"/>
          <w:szCs w:val="24"/>
          <w:highlight w:val="none"/>
          <w:lang w:val="en-US" w:eastAsia="zh-CN"/>
        </w:rPr>
        <w:t>等</w:t>
      </w:r>
      <w:r>
        <w:rPr>
          <w:rFonts w:hint="eastAsia"/>
          <w:sz w:val="24"/>
          <w:szCs w:val="24"/>
          <w:highlight w:val="none"/>
          <w:lang w:eastAsia="zh-CN"/>
        </w:rPr>
        <w:t>将“</w:t>
      </w:r>
      <w:r>
        <w:rPr>
          <w:rFonts w:hint="eastAsia"/>
          <w:sz w:val="24"/>
          <w:szCs w:val="24"/>
          <w:highlight w:val="none"/>
          <w:lang w:val="en-US" w:eastAsia="zh-CN"/>
        </w:rPr>
        <w:t>民用爆破器材</w:t>
      </w:r>
      <w:r>
        <w:rPr>
          <w:rFonts w:hint="eastAsia"/>
          <w:sz w:val="24"/>
          <w:szCs w:val="24"/>
          <w:highlight w:val="none"/>
          <w:lang w:eastAsia="zh-CN"/>
        </w:rPr>
        <w:t>”改为“</w:t>
      </w:r>
      <w:r>
        <w:rPr>
          <w:rFonts w:hint="eastAsia"/>
          <w:sz w:val="24"/>
          <w:szCs w:val="24"/>
          <w:highlight w:val="none"/>
          <w:lang w:val="en-US" w:eastAsia="zh-CN"/>
        </w:rPr>
        <w:t>民用爆炸物品</w:t>
      </w:r>
      <w:r>
        <w:rPr>
          <w:rFonts w:hint="eastAsia"/>
          <w:sz w:val="24"/>
          <w:szCs w:val="24"/>
          <w:highlight w:val="none"/>
          <w:lang w:eastAsia="zh-CN"/>
        </w:rPr>
        <w:t>”；</w:t>
      </w:r>
    </w:p>
    <w:p w14:paraId="21661D8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（2）修改了术语和定义，</w:t>
      </w:r>
      <w:r>
        <w:rPr>
          <w:rFonts w:hint="eastAsia"/>
          <w:sz w:val="24"/>
          <w:szCs w:val="24"/>
          <w:highlight w:val="none"/>
          <w:lang w:val="en-US" w:eastAsia="zh-CN"/>
        </w:rPr>
        <w:t>将三种否决项（A1、A2、A3）合并为一个否决项A，增加了“督促项</w:t>
      </w:r>
      <w:r>
        <w:rPr>
          <w:rFonts w:hint="eastAsia"/>
          <w:sz w:val="24"/>
          <w:szCs w:val="24"/>
          <w:highlight w:val="none"/>
          <w:lang w:eastAsia="zh-CN"/>
        </w:rPr>
        <w:t xml:space="preserve">  </w:t>
      </w:r>
      <w:r>
        <w:rPr>
          <w:rFonts w:hint="default"/>
          <w:sz w:val="24"/>
          <w:szCs w:val="24"/>
          <w:highlight w:val="none"/>
          <w:lang w:val="en-US" w:eastAsia="zh-CN"/>
        </w:rPr>
        <w:t>“</w:t>
      </w:r>
      <w:r>
        <w:rPr>
          <w:rFonts w:hint="eastAsia"/>
          <w:sz w:val="24"/>
          <w:szCs w:val="24"/>
          <w:highlight w:val="none"/>
          <w:lang w:val="en-US" w:eastAsia="zh-CN"/>
        </w:rPr>
        <w:t>C ；</w:t>
      </w:r>
    </w:p>
    <w:p w14:paraId="7FF678A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（3）</w:t>
      </w:r>
      <w:r>
        <w:rPr>
          <w:rFonts w:hint="eastAsia"/>
          <w:sz w:val="24"/>
          <w:szCs w:val="24"/>
          <w:highlight w:val="none"/>
          <w:lang w:val="en-US" w:eastAsia="zh-CN"/>
        </w:rPr>
        <w:t>生产</w:t>
      </w:r>
      <w:r>
        <w:rPr>
          <w:rFonts w:hint="eastAsia"/>
          <w:sz w:val="24"/>
          <w:szCs w:val="24"/>
          <w:highlight w:val="none"/>
          <w:lang w:eastAsia="zh-CN"/>
        </w:rPr>
        <w:t>企业（</w:t>
      </w:r>
      <w:r>
        <w:rPr>
          <w:rFonts w:hint="eastAsia"/>
          <w:sz w:val="24"/>
          <w:szCs w:val="24"/>
          <w:highlight w:val="none"/>
          <w:lang w:val="en-US" w:eastAsia="zh-CN"/>
        </w:rPr>
        <w:t>生产场点</w:t>
      </w:r>
      <w:r>
        <w:rPr>
          <w:rFonts w:hint="eastAsia"/>
          <w:sz w:val="24"/>
          <w:szCs w:val="24"/>
          <w:highlight w:val="none"/>
          <w:lang w:eastAsia="zh-CN"/>
        </w:rPr>
        <w:t>）安全检查</w:t>
      </w:r>
      <w:r>
        <w:rPr>
          <w:rFonts w:hint="eastAsia"/>
          <w:sz w:val="24"/>
          <w:szCs w:val="24"/>
          <w:highlight w:val="none"/>
          <w:lang w:val="en-US" w:eastAsia="zh-CN"/>
        </w:rPr>
        <w:t>单元由三个改</w:t>
      </w:r>
      <w:r>
        <w:rPr>
          <w:rFonts w:hint="eastAsia"/>
          <w:sz w:val="24"/>
          <w:szCs w:val="24"/>
          <w:highlight w:val="none"/>
          <w:lang w:eastAsia="zh-CN"/>
        </w:rPr>
        <w:t>为</w:t>
      </w:r>
      <w:r>
        <w:rPr>
          <w:rFonts w:hint="eastAsia"/>
          <w:sz w:val="24"/>
          <w:szCs w:val="24"/>
          <w:highlight w:val="none"/>
          <w:lang w:val="en-US" w:eastAsia="zh-CN"/>
        </w:rPr>
        <w:t>四</w:t>
      </w:r>
      <w:r>
        <w:rPr>
          <w:rFonts w:hint="eastAsia"/>
          <w:sz w:val="24"/>
          <w:szCs w:val="24"/>
          <w:highlight w:val="none"/>
          <w:lang w:eastAsia="zh-CN"/>
        </w:rPr>
        <w:t>个</w:t>
      </w:r>
      <w:r>
        <w:rPr>
          <w:rFonts w:hint="eastAsia"/>
          <w:sz w:val="24"/>
          <w:szCs w:val="24"/>
          <w:highlight w:val="none"/>
          <w:lang w:val="en-US" w:eastAsia="zh-CN"/>
        </w:rPr>
        <w:t>单元</w:t>
      </w:r>
      <w:r>
        <w:rPr>
          <w:rFonts w:hint="eastAsia"/>
          <w:sz w:val="24"/>
          <w:szCs w:val="24"/>
          <w:highlight w:val="none"/>
          <w:lang w:eastAsia="zh-CN"/>
        </w:rPr>
        <w:t>：</w:t>
      </w:r>
      <w:r>
        <w:rPr>
          <w:rFonts w:hint="eastAsia"/>
          <w:sz w:val="24"/>
          <w:szCs w:val="24"/>
          <w:highlight w:val="none"/>
          <w:lang w:val="en-US" w:eastAsia="zh-CN"/>
        </w:rPr>
        <w:t>企业</w:t>
      </w:r>
      <w:r>
        <w:rPr>
          <w:rFonts w:hint="eastAsia"/>
          <w:sz w:val="24"/>
          <w:szCs w:val="24"/>
          <w:highlight w:val="none"/>
          <w:lang w:eastAsia="zh-CN"/>
        </w:rPr>
        <w:t>综合安全管理</w:t>
      </w:r>
      <w:r>
        <w:rPr>
          <w:rFonts w:hint="eastAsia"/>
          <w:sz w:val="24"/>
          <w:szCs w:val="24"/>
          <w:highlight w:val="none"/>
          <w:lang w:val="en-US" w:eastAsia="zh-CN"/>
        </w:rPr>
        <w:t>单元、</w:t>
      </w:r>
      <w:r>
        <w:rPr>
          <w:rFonts w:hint="eastAsia"/>
          <w:sz w:val="24"/>
          <w:szCs w:val="24"/>
          <w:highlight w:val="none"/>
          <w:lang w:eastAsia="zh-CN"/>
        </w:rPr>
        <w:t>总体安全条件</w:t>
      </w:r>
      <w:r>
        <w:rPr>
          <w:rFonts w:hint="eastAsia"/>
          <w:sz w:val="24"/>
          <w:szCs w:val="24"/>
          <w:highlight w:val="none"/>
          <w:lang w:val="en-US" w:eastAsia="zh-CN"/>
        </w:rPr>
        <w:t>单元</w:t>
      </w:r>
      <w:r>
        <w:rPr>
          <w:rFonts w:hint="eastAsia"/>
          <w:sz w:val="24"/>
          <w:szCs w:val="24"/>
          <w:highlight w:val="none"/>
          <w:lang w:eastAsia="zh-CN"/>
        </w:rPr>
        <w:t>、</w:t>
      </w:r>
      <w:r>
        <w:rPr>
          <w:rFonts w:hint="eastAsia"/>
          <w:sz w:val="24"/>
          <w:szCs w:val="24"/>
          <w:highlight w:val="none"/>
          <w:lang w:val="en-US" w:eastAsia="zh-CN"/>
        </w:rPr>
        <w:t>各</w:t>
      </w:r>
      <w:r>
        <w:rPr>
          <w:rFonts w:hint="eastAsia"/>
          <w:sz w:val="24"/>
          <w:szCs w:val="24"/>
          <w:highlight w:val="none"/>
          <w:lang w:eastAsia="zh-CN"/>
        </w:rPr>
        <w:t>生产线</w:t>
      </w:r>
      <w:r>
        <w:rPr>
          <w:rFonts w:hint="eastAsia"/>
          <w:sz w:val="24"/>
          <w:szCs w:val="24"/>
          <w:highlight w:val="none"/>
          <w:lang w:val="en-US" w:eastAsia="zh-CN"/>
        </w:rPr>
        <w:t>单元和</w:t>
      </w:r>
      <w:r>
        <w:rPr>
          <w:rFonts w:hint="eastAsia"/>
          <w:sz w:val="24"/>
          <w:szCs w:val="24"/>
          <w:highlight w:val="none"/>
          <w:lang w:eastAsia="zh-CN"/>
        </w:rPr>
        <w:t>企业总仓库设施及现场管理</w:t>
      </w:r>
      <w:r>
        <w:rPr>
          <w:rFonts w:hint="eastAsia"/>
          <w:sz w:val="24"/>
          <w:szCs w:val="24"/>
          <w:highlight w:val="none"/>
          <w:lang w:val="en-US" w:eastAsia="zh-CN"/>
        </w:rPr>
        <w:t>单元；销售</w:t>
      </w:r>
      <w:r>
        <w:rPr>
          <w:rFonts w:hint="eastAsia"/>
          <w:sz w:val="24"/>
          <w:szCs w:val="24"/>
          <w:highlight w:val="none"/>
          <w:lang w:eastAsia="zh-CN"/>
        </w:rPr>
        <w:t>企业（</w:t>
      </w:r>
      <w:r>
        <w:rPr>
          <w:rFonts w:hint="eastAsia"/>
          <w:sz w:val="24"/>
          <w:szCs w:val="24"/>
          <w:highlight w:val="none"/>
          <w:lang w:val="en-US" w:eastAsia="zh-CN"/>
        </w:rPr>
        <w:t>销售场点</w:t>
      </w:r>
      <w:r>
        <w:rPr>
          <w:rFonts w:hint="eastAsia"/>
          <w:sz w:val="24"/>
          <w:szCs w:val="24"/>
          <w:highlight w:val="none"/>
          <w:lang w:eastAsia="zh-CN"/>
        </w:rPr>
        <w:t>）安全检查</w:t>
      </w:r>
      <w:r>
        <w:rPr>
          <w:rFonts w:hint="eastAsia"/>
          <w:sz w:val="24"/>
          <w:szCs w:val="24"/>
          <w:highlight w:val="none"/>
          <w:lang w:val="en-US" w:eastAsia="zh-CN"/>
        </w:rPr>
        <w:t>单元仍为三</w:t>
      </w:r>
      <w:r>
        <w:rPr>
          <w:rFonts w:hint="eastAsia"/>
          <w:sz w:val="24"/>
          <w:szCs w:val="24"/>
          <w:highlight w:val="none"/>
          <w:lang w:eastAsia="zh-CN"/>
        </w:rPr>
        <w:t>个</w:t>
      </w:r>
      <w:r>
        <w:rPr>
          <w:rFonts w:hint="eastAsia"/>
          <w:sz w:val="24"/>
          <w:szCs w:val="24"/>
          <w:highlight w:val="none"/>
          <w:lang w:val="en-US" w:eastAsia="zh-CN"/>
        </w:rPr>
        <w:t>单元，但改为</w:t>
      </w:r>
      <w:r>
        <w:rPr>
          <w:rFonts w:hint="eastAsia"/>
          <w:sz w:val="24"/>
          <w:szCs w:val="24"/>
          <w:highlight w:val="none"/>
          <w:lang w:eastAsia="zh-CN"/>
        </w:rPr>
        <w:t>：</w:t>
      </w:r>
      <w:r>
        <w:rPr>
          <w:rFonts w:hint="eastAsia"/>
          <w:sz w:val="24"/>
          <w:szCs w:val="24"/>
          <w:highlight w:val="none"/>
          <w:lang w:val="en-US" w:eastAsia="zh-CN"/>
        </w:rPr>
        <w:t>企业</w:t>
      </w:r>
      <w:r>
        <w:rPr>
          <w:rFonts w:hint="eastAsia"/>
          <w:sz w:val="24"/>
          <w:szCs w:val="24"/>
          <w:highlight w:val="none"/>
          <w:lang w:eastAsia="zh-CN"/>
        </w:rPr>
        <w:t>综合安全管理</w:t>
      </w:r>
      <w:r>
        <w:rPr>
          <w:rFonts w:hint="eastAsia"/>
          <w:sz w:val="24"/>
          <w:szCs w:val="24"/>
          <w:highlight w:val="none"/>
          <w:lang w:val="en-US" w:eastAsia="zh-CN"/>
        </w:rPr>
        <w:t>单元、</w:t>
      </w:r>
      <w:r>
        <w:rPr>
          <w:rFonts w:hint="eastAsia"/>
          <w:sz w:val="24"/>
          <w:szCs w:val="24"/>
          <w:highlight w:val="none"/>
          <w:lang w:eastAsia="zh-CN"/>
        </w:rPr>
        <w:t>总体安全条件</w:t>
      </w:r>
      <w:r>
        <w:rPr>
          <w:rFonts w:hint="eastAsia"/>
          <w:sz w:val="24"/>
          <w:szCs w:val="24"/>
          <w:highlight w:val="none"/>
          <w:lang w:val="en-US" w:eastAsia="zh-CN"/>
        </w:rPr>
        <w:t>单元和</w:t>
      </w:r>
      <w:r>
        <w:rPr>
          <w:rFonts w:hint="eastAsia"/>
          <w:sz w:val="24"/>
          <w:szCs w:val="24"/>
          <w:highlight w:val="none"/>
          <w:lang w:eastAsia="zh-CN"/>
        </w:rPr>
        <w:t>企业总仓库设施及现场管理</w:t>
      </w:r>
      <w:r>
        <w:rPr>
          <w:rFonts w:hint="eastAsia"/>
          <w:sz w:val="24"/>
          <w:szCs w:val="24"/>
          <w:highlight w:val="none"/>
          <w:lang w:val="en-US" w:eastAsia="zh-CN"/>
        </w:rPr>
        <w:t>；</w:t>
      </w:r>
    </w:p>
    <w:p w14:paraId="6DBAC9E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rFonts w:hint="default"/>
          <w:sz w:val="24"/>
          <w:szCs w:val="24"/>
          <w:highlight w:val="none"/>
          <w:lang w:val="en-US"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</w:t>
      </w:r>
      <w:r>
        <w:rPr>
          <w:rFonts w:hint="eastAsia"/>
          <w:sz w:val="24"/>
          <w:szCs w:val="24"/>
          <w:highlight w:val="none"/>
          <w:lang w:val="en-US" w:eastAsia="zh-CN"/>
        </w:rPr>
        <w:t>4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rFonts w:hint="eastAsia"/>
          <w:sz w:val="24"/>
          <w:szCs w:val="24"/>
          <w:highlight w:val="none"/>
          <w:lang w:val="en-US" w:eastAsia="zh-CN"/>
        </w:rPr>
        <w:t>简化了单元检查表检查统计方法和判定结果的评定方法，将原标准的统计计分方法，改为统计不合格数；</w:t>
      </w:r>
    </w:p>
    <w:p w14:paraId="76AEE46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</w:t>
      </w:r>
      <w:r>
        <w:rPr>
          <w:rFonts w:hint="eastAsia"/>
          <w:sz w:val="24"/>
          <w:szCs w:val="24"/>
          <w:highlight w:val="none"/>
          <w:lang w:val="en-US" w:eastAsia="zh-CN"/>
        </w:rPr>
        <w:t>5</w:t>
      </w:r>
      <w:r>
        <w:rPr>
          <w:rFonts w:hint="eastAsia"/>
          <w:sz w:val="24"/>
          <w:szCs w:val="24"/>
          <w:highlight w:val="none"/>
          <w:lang w:eastAsia="zh-CN"/>
        </w:rPr>
        <w:t>）</w:t>
      </w:r>
      <w:r>
        <w:rPr>
          <w:rFonts w:hint="eastAsia"/>
          <w:sz w:val="24"/>
          <w:szCs w:val="24"/>
          <w:highlight w:val="none"/>
          <w:lang w:val="en-US" w:eastAsia="zh-CN"/>
        </w:rPr>
        <w:t>简化了企业检查判定结论评定方法，将原标准的计分统计方法，改为统计单元检查表不合格数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</w:p>
    <w:p w14:paraId="302935F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（6）</w:t>
      </w:r>
      <w:r>
        <w:rPr>
          <w:rFonts w:hint="eastAsia"/>
          <w:sz w:val="24"/>
          <w:szCs w:val="24"/>
          <w:highlight w:val="none"/>
          <w:lang w:val="en-US" w:eastAsia="zh-CN"/>
        </w:rPr>
        <w:t>相应的修改检查表的格式和内容，删除了计分的记录和统计</w:t>
      </w:r>
      <w:r>
        <w:rPr>
          <w:rFonts w:hint="eastAsia"/>
          <w:sz w:val="24"/>
          <w:szCs w:val="24"/>
          <w:highlight w:val="none"/>
          <w:lang w:eastAsia="zh-CN"/>
        </w:rPr>
        <w:t>；</w:t>
      </w:r>
    </w:p>
    <w:p w14:paraId="2F9F6D2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（7）</w:t>
      </w:r>
      <w:r>
        <w:rPr>
          <w:rFonts w:hint="eastAsia"/>
          <w:sz w:val="24"/>
          <w:szCs w:val="24"/>
          <w:highlight w:val="none"/>
          <w:lang w:val="en-US" w:eastAsia="zh-CN"/>
        </w:rPr>
        <w:t>依据新的法律、法规、规定和标准以及事故案例修改了企业</w:t>
      </w:r>
      <w:r>
        <w:rPr>
          <w:rFonts w:hint="eastAsia"/>
          <w:sz w:val="24"/>
          <w:szCs w:val="24"/>
          <w:highlight w:val="none"/>
          <w:lang w:eastAsia="zh-CN"/>
        </w:rPr>
        <w:t>综合安全管理</w:t>
      </w:r>
      <w:r>
        <w:rPr>
          <w:rFonts w:hint="eastAsia"/>
          <w:sz w:val="24"/>
          <w:szCs w:val="24"/>
          <w:highlight w:val="none"/>
          <w:lang w:val="en-US" w:eastAsia="zh-CN"/>
        </w:rPr>
        <w:t>单元、</w:t>
      </w:r>
      <w:r>
        <w:rPr>
          <w:rFonts w:hint="eastAsia"/>
          <w:sz w:val="24"/>
          <w:szCs w:val="24"/>
          <w:highlight w:val="none"/>
          <w:lang w:eastAsia="zh-CN"/>
        </w:rPr>
        <w:t>总体安全条件</w:t>
      </w:r>
      <w:r>
        <w:rPr>
          <w:rFonts w:hint="eastAsia"/>
          <w:sz w:val="24"/>
          <w:szCs w:val="24"/>
          <w:highlight w:val="none"/>
          <w:lang w:val="en-US" w:eastAsia="zh-CN"/>
        </w:rPr>
        <w:t>单元</w:t>
      </w:r>
      <w:r>
        <w:rPr>
          <w:rFonts w:hint="eastAsia"/>
          <w:sz w:val="24"/>
          <w:szCs w:val="24"/>
          <w:highlight w:val="none"/>
          <w:lang w:eastAsia="zh-CN"/>
        </w:rPr>
        <w:t>、</w:t>
      </w:r>
      <w:r>
        <w:rPr>
          <w:rFonts w:hint="eastAsia"/>
          <w:sz w:val="24"/>
          <w:szCs w:val="24"/>
          <w:highlight w:val="none"/>
          <w:lang w:val="en-US" w:eastAsia="zh-CN"/>
        </w:rPr>
        <w:t>各</w:t>
      </w:r>
      <w:r>
        <w:rPr>
          <w:rFonts w:hint="eastAsia"/>
          <w:sz w:val="24"/>
          <w:szCs w:val="24"/>
          <w:highlight w:val="none"/>
          <w:lang w:eastAsia="zh-CN"/>
        </w:rPr>
        <w:t>生产线</w:t>
      </w:r>
      <w:r>
        <w:rPr>
          <w:rFonts w:hint="eastAsia"/>
          <w:sz w:val="24"/>
          <w:szCs w:val="24"/>
          <w:highlight w:val="none"/>
          <w:lang w:val="en-US" w:eastAsia="zh-CN"/>
        </w:rPr>
        <w:t>单元和</w:t>
      </w:r>
      <w:r>
        <w:rPr>
          <w:rFonts w:hint="eastAsia"/>
          <w:sz w:val="24"/>
          <w:szCs w:val="24"/>
          <w:highlight w:val="none"/>
          <w:lang w:eastAsia="zh-CN"/>
        </w:rPr>
        <w:t>企业总仓库设施及现场管理</w:t>
      </w:r>
      <w:r>
        <w:rPr>
          <w:rFonts w:hint="eastAsia"/>
          <w:sz w:val="24"/>
          <w:szCs w:val="24"/>
          <w:highlight w:val="none"/>
          <w:lang w:val="en-US" w:eastAsia="zh-CN"/>
        </w:rPr>
        <w:t>单元的检查表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3ECE3537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四、标准涉及专利知识产权问题</w:t>
      </w:r>
    </w:p>
    <w:p w14:paraId="2D08ADC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>本标准不涉及专利知识产权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40FFDAB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</w:rPr>
      </w:pPr>
      <w:r>
        <w:rPr>
          <w:rFonts w:hint="eastAsia" w:hAnsi="黑体" w:cs="宋体"/>
          <w:sz w:val="24"/>
          <w:szCs w:val="24"/>
        </w:rPr>
        <w:t>五、预期社会和经济效果</w:t>
      </w:r>
    </w:p>
    <w:p w14:paraId="3275E75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本标准的编制实施，能更好地指导民爆</w:t>
      </w:r>
      <w:r>
        <w:rPr>
          <w:rFonts w:hint="eastAsia"/>
          <w:sz w:val="24"/>
          <w:szCs w:val="24"/>
          <w:lang w:val="en-US" w:eastAsia="zh-CN"/>
        </w:rPr>
        <w:t>行业标准应涵盖《民用爆炸物品品名表》中的主要产品的安全检查内容，适用于对民爆行业生产企业和销售企业的安全检查。</w:t>
      </w:r>
    </w:p>
    <w:p w14:paraId="70388DB4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六、与同类标准水平的对比情况</w:t>
      </w:r>
    </w:p>
    <w:p w14:paraId="44A12CD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本标准制修订参考了</w:t>
      </w:r>
      <w:r>
        <w:rPr>
          <w:rFonts w:hint="eastAsia"/>
          <w:sz w:val="24"/>
          <w:szCs w:val="24"/>
          <w:highlight w:val="none"/>
          <w:lang w:val="en-US" w:eastAsia="zh-CN"/>
        </w:rPr>
        <w:t>国内</w:t>
      </w:r>
      <w:r>
        <w:rPr>
          <w:rFonts w:hint="eastAsia"/>
          <w:sz w:val="24"/>
          <w:szCs w:val="24"/>
          <w:highlight w:val="none"/>
          <w:lang w:eastAsia="zh-CN"/>
        </w:rPr>
        <w:t>相关</w:t>
      </w:r>
      <w:r>
        <w:rPr>
          <w:rFonts w:hint="eastAsia"/>
          <w:sz w:val="24"/>
          <w:szCs w:val="24"/>
          <w:highlight w:val="none"/>
          <w:lang w:val="en-US" w:eastAsia="zh-CN"/>
        </w:rPr>
        <w:t>标准</w:t>
      </w:r>
      <w:r>
        <w:rPr>
          <w:rFonts w:hint="eastAsia"/>
          <w:sz w:val="24"/>
          <w:szCs w:val="24"/>
          <w:highlight w:val="none"/>
          <w:lang w:eastAsia="zh-CN"/>
        </w:rPr>
        <w:t>内容，</w:t>
      </w:r>
      <w:r>
        <w:rPr>
          <w:rFonts w:hint="eastAsia"/>
          <w:sz w:val="24"/>
          <w:szCs w:val="24"/>
          <w:highlight w:val="none"/>
          <w:lang w:val="en-US" w:eastAsia="zh-CN"/>
        </w:rPr>
        <w:t>符合行业实际情况</w:t>
      </w:r>
      <w:r>
        <w:rPr>
          <w:rFonts w:hint="eastAsia"/>
          <w:sz w:val="24"/>
          <w:szCs w:val="24"/>
          <w:highlight w:val="none"/>
          <w:lang w:eastAsia="zh-CN"/>
        </w:rPr>
        <w:t>。</w:t>
      </w:r>
    </w:p>
    <w:p w14:paraId="76416CFF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七、与现行法律、法规及标准的关系</w:t>
      </w:r>
    </w:p>
    <w:p w14:paraId="46FF646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本标准的制修订与民爆行业现行法律、法规及标准协调一致，符合 GB/T 1.1相关标准化编写的要求。</w:t>
      </w:r>
    </w:p>
    <w:p w14:paraId="4EBAACE3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八、重大分歧意见的处理</w:t>
      </w:r>
    </w:p>
    <w:p w14:paraId="6A875D8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本标准制修订过程中无重大意见分歧。</w:t>
      </w:r>
    </w:p>
    <w:p w14:paraId="661BCE72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</w:pPr>
      <w:r>
        <w:rPr>
          <w:rFonts w:hint="eastAsia" w:hAnsi="黑体" w:cs="宋体"/>
          <w:sz w:val="24"/>
          <w:szCs w:val="24"/>
          <w:highlight w:val="none"/>
        </w:rPr>
        <w:t>九、废止现行有关标准的建议</w:t>
      </w:r>
    </w:p>
    <w:p w14:paraId="53CBD36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本标准发布后，WJ/T 9075.1-2012</w:t>
      </w:r>
      <w:r>
        <w:rPr>
          <w:rFonts w:hint="eastAsia" w:cs="宋体"/>
          <w:sz w:val="24"/>
          <w:szCs w:val="24"/>
          <w:highlight w:val="none"/>
          <w:lang w:val="en-US" w:eastAsia="zh-CN" w:bidi="ar-SA"/>
        </w:rPr>
        <w:t>《民用爆破器材企业安全检查方法 检查表法 第 1 部分：总则》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 w:bidi="ar-SA"/>
        </w:rPr>
        <w:t>行业标准</w:t>
      </w:r>
      <w:r>
        <w:rPr>
          <w:rFonts w:hint="eastAsia"/>
          <w:sz w:val="24"/>
          <w:szCs w:val="24"/>
          <w:highlight w:val="none"/>
          <w:lang w:eastAsia="zh-CN"/>
        </w:rPr>
        <w:t>废止。</w:t>
      </w:r>
    </w:p>
    <w:p w14:paraId="4D7A67D8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十、标准性质及贯彻标准的建议</w:t>
      </w:r>
    </w:p>
    <w:p w14:paraId="6BEE973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建议该标准作为</w:t>
      </w:r>
      <w:r>
        <w:rPr>
          <w:rFonts w:hint="eastAsia"/>
          <w:sz w:val="24"/>
          <w:szCs w:val="24"/>
          <w:highlight w:val="none"/>
          <w:lang w:val="en-US" w:eastAsia="zh-CN"/>
        </w:rPr>
        <w:t>推荐性</w:t>
      </w:r>
      <w:r>
        <w:rPr>
          <w:rFonts w:hint="eastAsia"/>
          <w:sz w:val="24"/>
          <w:szCs w:val="24"/>
          <w:highlight w:val="none"/>
          <w:lang w:eastAsia="zh-CN"/>
        </w:rPr>
        <w:t>标准，发布后进行宣贯。</w:t>
      </w:r>
    </w:p>
    <w:p w14:paraId="3B2D1431">
      <w:pPr>
        <w:pStyle w:val="17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textAlignment w:val="auto"/>
        <w:rPr>
          <w:rFonts w:hAnsi="黑体" w:cs="宋体"/>
          <w:sz w:val="24"/>
          <w:szCs w:val="24"/>
          <w:highlight w:val="none"/>
        </w:rPr>
      </w:pPr>
      <w:r>
        <w:rPr>
          <w:rFonts w:hint="eastAsia" w:hAnsi="黑体" w:cs="宋体"/>
          <w:sz w:val="24"/>
          <w:szCs w:val="24"/>
          <w:highlight w:val="none"/>
        </w:rPr>
        <w:t>十一、其他应当予以说明的事项</w:t>
      </w:r>
    </w:p>
    <w:p w14:paraId="4B6C809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360" w:lineRule="auto"/>
        <w:ind w:firstLine="420"/>
        <w:textAlignment w:val="auto"/>
        <w:rPr>
          <w:sz w:val="24"/>
          <w:szCs w:val="24"/>
          <w:highlight w:val="none"/>
          <w:lang w:eastAsia="zh-CN"/>
        </w:rPr>
      </w:pPr>
      <w:r>
        <w:rPr>
          <w:rFonts w:hint="eastAsia"/>
          <w:sz w:val="24"/>
          <w:szCs w:val="24"/>
          <w:highlight w:val="none"/>
          <w:lang w:eastAsia="zh-CN"/>
        </w:rPr>
        <w:t>无。</w:t>
      </w:r>
    </w:p>
    <w:sectPr>
      <w:footerReference r:id="rId7" w:type="default"/>
      <w:pgSz w:w="11910" w:h="16840"/>
      <w:pgMar w:top="1418" w:right="1418" w:bottom="1418" w:left="1418" w:header="0" w:footer="851" w:gutter="0"/>
      <w:pgNumType w:fmt="decimal"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40"/>
      </w:pPr>
      <w:r>
        <w:separator/>
      </w:r>
    </w:p>
  </w:endnote>
  <w:endnote w:type="continuationSeparator" w:id="1">
    <w:p>
      <w:pPr>
        <w:spacing w:line="240" w:lineRule="auto"/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34F81E3-9BF9-4853-AD49-1FAC3CC8657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96F293D9-1746-4E08-A971-F639A1D44D5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D55BC8">
    <w:pPr>
      <w:pStyle w:val="6"/>
      <w:ind w:left="0" w:leftChars="0" w:firstLine="0" w:firstLineChars="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9552C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9552C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9FA066">
    <w:pPr>
      <w:pStyle w:val="5"/>
      <w:ind w:left="0" w:leftChars="0" w:firstLine="0" w:firstLineChars="0"/>
      <w:rPr>
        <w:sz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5FC505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+OrREyAgAAY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f46tET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5FC505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40"/>
      </w:pPr>
      <w:r>
        <w:separator/>
      </w:r>
    </w:p>
  </w:footnote>
  <w:footnote w:type="continuationSeparator" w:id="1">
    <w:p>
      <w:pPr>
        <w:spacing w:line="360" w:lineRule="auto"/>
        <w:ind w:firstLine="4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6C4EB3">
    <w:pPr>
      <w:pStyle w:val="7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CEA2025"/>
    <w:multiLevelType w:val="multilevel"/>
    <w:tmpl w:val="6CEA2025"/>
    <w:lvl w:ilvl="0" w:tentative="0">
      <w:start w:val="1"/>
      <w:numFmt w:val="none"/>
      <w:suff w:val="nothing"/>
      <w:lvlText w:val="%1"/>
      <w:lvlJc w:val="left"/>
      <w:pPr>
        <w:ind w:left="0" w:firstLine="0"/>
      </w:pPr>
      <w:rPr>
        <w:rFonts w:hint="default" w:ascii="Times New Roman" w:hAnsi="Times New Roman"/>
        <w:b/>
        <w:i w:val="0"/>
        <w:sz w:val="21"/>
      </w:rPr>
    </w:lvl>
    <w:lvl w:ilvl="1" w:tentative="0">
      <w:start w:val="1"/>
      <w:numFmt w:val="decimal"/>
      <w:pStyle w:val="22"/>
      <w:suff w:val="nothing"/>
      <w:lvlText w:val="%1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2" w:tentative="0">
      <w:start w:val="1"/>
      <w:numFmt w:val="decimal"/>
      <w:pStyle w:val="21"/>
      <w:suff w:val="nothing"/>
      <w:lvlText w:val="%1%2.%3　"/>
      <w:lvlJc w:val="left"/>
      <w:pPr>
        <w:ind w:left="105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0"/>
      <w:suff w:val="nothing"/>
      <w:lvlText w:val="%1%2.%3.%4　"/>
      <w:lvlJc w:val="left"/>
      <w:pPr>
        <w:ind w:left="21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ZmOTY3ZjRiODg4NjE2NWQzNWMyYjRkYWEyMTk3ZjcifQ=="/>
  </w:docVars>
  <w:rsids>
    <w:rsidRoot w:val="00715327"/>
    <w:rsid w:val="000036C4"/>
    <w:rsid w:val="00005778"/>
    <w:rsid w:val="00040031"/>
    <w:rsid w:val="00061C9C"/>
    <w:rsid w:val="00086972"/>
    <w:rsid w:val="00106A6F"/>
    <w:rsid w:val="00123B19"/>
    <w:rsid w:val="001427B8"/>
    <w:rsid w:val="00241C42"/>
    <w:rsid w:val="002834EF"/>
    <w:rsid w:val="002C21BF"/>
    <w:rsid w:val="002C7B0B"/>
    <w:rsid w:val="002D6F1D"/>
    <w:rsid w:val="002E008E"/>
    <w:rsid w:val="00373430"/>
    <w:rsid w:val="00402048"/>
    <w:rsid w:val="004243F0"/>
    <w:rsid w:val="00434997"/>
    <w:rsid w:val="004358E7"/>
    <w:rsid w:val="00456A9C"/>
    <w:rsid w:val="00472635"/>
    <w:rsid w:val="004901CB"/>
    <w:rsid w:val="004D4FE0"/>
    <w:rsid w:val="0056579A"/>
    <w:rsid w:val="00567205"/>
    <w:rsid w:val="00592D61"/>
    <w:rsid w:val="005B547B"/>
    <w:rsid w:val="005E32CE"/>
    <w:rsid w:val="005F0DE8"/>
    <w:rsid w:val="006429C9"/>
    <w:rsid w:val="006430FD"/>
    <w:rsid w:val="00656DEC"/>
    <w:rsid w:val="00662DCD"/>
    <w:rsid w:val="00677DC4"/>
    <w:rsid w:val="00685492"/>
    <w:rsid w:val="00715327"/>
    <w:rsid w:val="00767231"/>
    <w:rsid w:val="00782B92"/>
    <w:rsid w:val="007837BD"/>
    <w:rsid w:val="00797AC7"/>
    <w:rsid w:val="007D354E"/>
    <w:rsid w:val="007D7BBD"/>
    <w:rsid w:val="0088308B"/>
    <w:rsid w:val="008916F2"/>
    <w:rsid w:val="008E29B4"/>
    <w:rsid w:val="00904AE6"/>
    <w:rsid w:val="00937370"/>
    <w:rsid w:val="00943EAD"/>
    <w:rsid w:val="009772DB"/>
    <w:rsid w:val="009A34CE"/>
    <w:rsid w:val="00A350B9"/>
    <w:rsid w:val="00A95D31"/>
    <w:rsid w:val="00AA3C6C"/>
    <w:rsid w:val="00AE1882"/>
    <w:rsid w:val="00B024F5"/>
    <w:rsid w:val="00B05BD7"/>
    <w:rsid w:val="00B51F19"/>
    <w:rsid w:val="00B56AB4"/>
    <w:rsid w:val="00B87455"/>
    <w:rsid w:val="00B92F43"/>
    <w:rsid w:val="00B95A76"/>
    <w:rsid w:val="00B966FC"/>
    <w:rsid w:val="00B97D8E"/>
    <w:rsid w:val="00BB0CDA"/>
    <w:rsid w:val="00BC5340"/>
    <w:rsid w:val="00C01EBA"/>
    <w:rsid w:val="00C109E5"/>
    <w:rsid w:val="00C66047"/>
    <w:rsid w:val="00CA675D"/>
    <w:rsid w:val="00CF0159"/>
    <w:rsid w:val="00D969EF"/>
    <w:rsid w:val="00DB03F3"/>
    <w:rsid w:val="00DB197A"/>
    <w:rsid w:val="00DC5AA7"/>
    <w:rsid w:val="00E573D2"/>
    <w:rsid w:val="00ED54CA"/>
    <w:rsid w:val="00F67B0B"/>
    <w:rsid w:val="00FA4D54"/>
    <w:rsid w:val="00FD6792"/>
    <w:rsid w:val="033C3422"/>
    <w:rsid w:val="053C0C8A"/>
    <w:rsid w:val="093454A7"/>
    <w:rsid w:val="0A9B25EE"/>
    <w:rsid w:val="0C3D6DF9"/>
    <w:rsid w:val="0DBC6F43"/>
    <w:rsid w:val="0DDD17FF"/>
    <w:rsid w:val="0E557083"/>
    <w:rsid w:val="13AE6F61"/>
    <w:rsid w:val="14F00F04"/>
    <w:rsid w:val="1658475D"/>
    <w:rsid w:val="16CA45DE"/>
    <w:rsid w:val="18BC5F12"/>
    <w:rsid w:val="1BEB4C90"/>
    <w:rsid w:val="1C5A5596"/>
    <w:rsid w:val="1CC9778F"/>
    <w:rsid w:val="1D1B51E3"/>
    <w:rsid w:val="1E69661E"/>
    <w:rsid w:val="1ECB6CEF"/>
    <w:rsid w:val="22414AFB"/>
    <w:rsid w:val="24E81330"/>
    <w:rsid w:val="297E0FB7"/>
    <w:rsid w:val="2C960225"/>
    <w:rsid w:val="2D1E66D0"/>
    <w:rsid w:val="2D4E7FAB"/>
    <w:rsid w:val="2EE52969"/>
    <w:rsid w:val="306948A1"/>
    <w:rsid w:val="3536601A"/>
    <w:rsid w:val="375612A0"/>
    <w:rsid w:val="375C12F1"/>
    <w:rsid w:val="3A4A561C"/>
    <w:rsid w:val="3A4F7D89"/>
    <w:rsid w:val="3DAC5CA6"/>
    <w:rsid w:val="3DD40CCB"/>
    <w:rsid w:val="42A94006"/>
    <w:rsid w:val="437B732E"/>
    <w:rsid w:val="4512175E"/>
    <w:rsid w:val="45AB6AD8"/>
    <w:rsid w:val="46756FAA"/>
    <w:rsid w:val="47A04D78"/>
    <w:rsid w:val="4BC114B6"/>
    <w:rsid w:val="4F7C6D36"/>
    <w:rsid w:val="51D13AD5"/>
    <w:rsid w:val="5411465D"/>
    <w:rsid w:val="546C4071"/>
    <w:rsid w:val="59AB42EE"/>
    <w:rsid w:val="5C7204C4"/>
    <w:rsid w:val="61D54F1C"/>
    <w:rsid w:val="62EC224B"/>
    <w:rsid w:val="694839E2"/>
    <w:rsid w:val="6CE108DF"/>
    <w:rsid w:val="6D9D0818"/>
    <w:rsid w:val="6E6733A0"/>
    <w:rsid w:val="70C943AC"/>
    <w:rsid w:val="71284FD1"/>
    <w:rsid w:val="72AE13B5"/>
    <w:rsid w:val="7345315E"/>
    <w:rsid w:val="75217474"/>
    <w:rsid w:val="76F30DFB"/>
    <w:rsid w:val="78076539"/>
    <w:rsid w:val="79E62BDA"/>
    <w:rsid w:val="7A565F9A"/>
    <w:rsid w:val="7BA312FA"/>
    <w:rsid w:val="7BEC092C"/>
    <w:rsid w:val="7FFA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  <w:spacing w:line="360" w:lineRule="auto"/>
      <w:ind w:firstLine="418" w:firstLineChars="20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239"/>
      <w:ind w:left="718"/>
      <w:outlineLvl w:val="0"/>
    </w:pPr>
    <w:rPr>
      <w:b/>
      <w:bCs/>
      <w:sz w:val="30"/>
      <w:szCs w:val="30"/>
    </w:rPr>
  </w:style>
  <w:style w:type="paragraph" w:styleId="3">
    <w:name w:val="heading 2"/>
    <w:basedOn w:val="1"/>
    <w:next w:val="1"/>
    <w:qFormat/>
    <w:uiPriority w:val="1"/>
    <w:pPr>
      <w:ind w:left="855" w:hanging="317"/>
      <w:outlineLvl w:val="1"/>
    </w:pPr>
    <w:rPr>
      <w:b/>
      <w:bCs/>
      <w:sz w:val="21"/>
      <w:szCs w:val="2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ocument Map"/>
    <w:basedOn w:val="1"/>
    <w:link w:val="18"/>
    <w:qFormat/>
    <w:uiPriority w:val="0"/>
    <w:pPr>
      <w:autoSpaceDE/>
      <w:autoSpaceDN/>
      <w:jc w:val="both"/>
    </w:pPr>
    <w:rPr>
      <w:rFonts w:hAnsi="Times New Roman" w:cs="Times New Roman"/>
      <w:kern w:val="2"/>
      <w:sz w:val="18"/>
      <w:szCs w:val="18"/>
      <w:lang w:eastAsia="zh-CN"/>
    </w:r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  <w:style w:type="table" w:customStyle="1" w:styleId="11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qFormat/>
    <w:uiPriority w:val="1"/>
    <w:pPr>
      <w:ind w:left="118" w:firstLine="420"/>
    </w:pPr>
  </w:style>
  <w:style w:type="paragraph" w:customStyle="1" w:styleId="13">
    <w:name w:val="Table Paragraph"/>
    <w:basedOn w:val="1"/>
    <w:qFormat/>
    <w:uiPriority w:val="1"/>
  </w:style>
  <w:style w:type="character" w:customStyle="1" w:styleId="14">
    <w:name w:val="页眉 字符"/>
    <w:basedOn w:val="10"/>
    <w:link w:val="7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character" w:customStyle="1" w:styleId="15">
    <w:name w:val="页脚 字符"/>
    <w:basedOn w:val="10"/>
    <w:link w:val="6"/>
    <w:qFormat/>
    <w:uiPriority w:val="0"/>
    <w:rPr>
      <w:rFonts w:ascii="宋体" w:hAnsi="宋体" w:eastAsia="宋体" w:cs="宋体"/>
      <w:sz w:val="18"/>
      <w:szCs w:val="18"/>
      <w:lang w:eastAsia="en-US"/>
    </w:rPr>
  </w:style>
  <w:style w:type="paragraph" w:customStyle="1" w:styleId="16">
    <w:name w:val="Char Char Char Char Char Char Char"/>
    <w:basedOn w:val="1"/>
    <w:qFormat/>
    <w:uiPriority w:val="0"/>
    <w:pPr>
      <w:widowControl/>
      <w:autoSpaceDE/>
      <w:autoSpaceDN/>
      <w:spacing w:after="160" w:line="240" w:lineRule="exact"/>
    </w:pPr>
    <w:rPr>
      <w:rFonts w:ascii="Arial" w:hAnsi="Arial" w:eastAsia="Times New Roman" w:cs="Verdana"/>
      <w:b/>
      <w:sz w:val="24"/>
      <w:szCs w:val="24"/>
    </w:rPr>
  </w:style>
  <w:style w:type="paragraph" w:customStyle="1" w:styleId="17">
    <w:name w:val="章标题"/>
    <w:next w:val="1"/>
    <w:qFormat/>
    <w:uiPriority w:val="99"/>
    <w:pPr>
      <w:spacing w:before="50" w:after="50" w:line="360" w:lineRule="auto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character" w:customStyle="1" w:styleId="18">
    <w:name w:val="文档结构图 字符"/>
    <w:basedOn w:val="10"/>
    <w:link w:val="4"/>
    <w:qFormat/>
    <w:uiPriority w:val="0"/>
    <w:rPr>
      <w:rFonts w:ascii="宋体"/>
      <w:kern w:val="2"/>
      <w:sz w:val="18"/>
      <w:szCs w:val="18"/>
    </w:rPr>
  </w:style>
  <w:style w:type="paragraph" w:customStyle="1" w:styleId="19">
    <w:name w:val="标准文件_封面标准名称"/>
    <w:basedOn w:val="1"/>
    <w:qFormat/>
    <w:uiPriority w:val="0"/>
    <w:pPr>
      <w:spacing w:before="100" w:beforeLines="100" w:line="500" w:lineRule="exact"/>
      <w:jc w:val="center"/>
    </w:pPr>
    <w:rPr>
      <w:rFonts w:ascii="黑体" w:eastAsia="黑体"/>
      <w:kern w:val="0"/>
      <w:sz w:val="52"/>
    </w:rPr>
  </w:style>
  <w:style w:type="paragraph" w:customStyle="1" w:styleId="20">
    <w:name w:val="标准文件_二级条标题"/>
    <w:basedOn w:val="21"/>
    <w:next w:val="23"/>
    <w:qFormat/>
    <w:uiPriority w:val="0"/>
    <w:pPr>
      <w:numPr>
        <w:ilvl w:val="3"/>
        <w:numId w:val="1"/>
      </w:numPr>
      <w:outlineLvl w:val="3"/>
    </w:pPr>
  </w:style>
  <w:style w:type="paragraph" w:customStyle="1" w:styleId="21">
    <w:name w:val="标准文件_一级条标题"/>
    <w:basedOn w:val="22"/>
    <w:next w:val="23"/>
    <w:qFormat/>
    <w:uiPriority w:val="0"/>
    <w:pPr>
      <w:numPr>
        <w:ilvl w:val="2"/>
        <w:numId w:val="1"/>
      </w:numPr>
      <w:spacing w:before="0" w:beforeLines="0" w:after="0" w:afterLines="0"/>
      <w:outlineLvl w:val="2"/>
    </w:pPr>
  </w:style>
  <w:style w:type="paragraph" w:customStyle="1" w:styleId="22">
    <w:name w:val="标准文件_章标题"/>
    <w:next w:val="23"/>
    <w:qFormat/>
    <w:uiPriority w:val="0"/>
    <w:pPr>
      <w:numPr>
        <w:ilvl w:val="1"/>
        <w:numId w:val="1"/>
      </w:numPr>
      <w:spacing w:before="50" w:beforeLines="50" w:after="50" w:afterLines="50"/>
      <w:ind w:right="-50" w:rightChars="-50"/>
      <w:jc w:val="both"/>
      <w:outlineLvl w:val="1"/>
    </w:pPr>
    <w:rPr>
      <w:rFonts w:ascii="黑体" w:hAnsi="Times New Roman" w:eastAsia="黑体" w:cs="Times New Roman"/>
      <w:spacing w:val="2"/>
      <w:sz w:val="21"/>
      <w:lang w:val="en-US" w:eastAsia="zh-CN" w:bidi="ar-SA"/>
    </w:rPr>
  </w:style>
  <w:style w:type="paragraph" w:customStyle="1" w:styleId="23">
    <w:name w:val="标准文件_段"/>
    <w:qFormat/>
    <w:uiPriority w:val="0"/>
    <w:pPr>
      <w:autoSpaceDE w:val="0"/>
      <w:autoSpaceDN w:val="0"/>
      <w:adjustRightInd w:val="0"/>
      <w:snapToGrid w:val="0"/>
      <w:spacing w:line="340" w:lineRule="exact"/>
      <w:ind w:firstLine="428" w:firstLineChars="200"/>
      <w:jc w:val="both"/>
    </w:pPr>
    <w:rPr>
      <w:rFonts w:ascii="宋体" w:hAnsi="Times New Roman" w:eastAsia="宋体" w:cs="Times New Roman"/>
      <w:spacing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418A8C-C673-4407-967D-9F5693F329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3653</Words>
  <Characters>4091</Characters>
  <Lines>45</Lines>
  <Paragraphs>12</Paragraphs>
  <TotalTime>0</TotalTime>
  <ScaleCrop>false</ScaleCrop>
  <LinksUpToDate>false</LinksUpToDate>
  <CharactersWithSpaces>4149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2023-03-28T07:05:00Z</dcterms:created>
  <dc:creator>番茄花园</dc:creator>
  <cp:lastModifiedBy>大衣服</cp:lastModifiedBy>
  <cp:lastPrinted>2024-04-15T01:10:00Z</cp:lastPrinted>
  <dcterms:modified xsi:type="dcterms:W3CDTF">2025-11-18T10:52:25Z</dcterms:modified>
  <dc:title>中华人民共和国国家标准</dc:title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2022-12-17T00:00:00Z</vt:filetime>
  </property>
  <property fmtid="{D5CDD505-2E9C-101B-9397-08002B2CF9AE}" pid="3" name="Creator">
    <vt:lpwstr>WPS 文字</vt:lpwstr>
  </property>
  <property fmtid="{D5CDD505-2E9C-101B-9397-08002B2CF9AE}" pid="4" name="LastSaved">
    <vt:filetime>2023-02-17T00:00:00Z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4C86701053BD4CCDBEC787164D5DD9F4_13</vt:lpwstr>
  </property>
  <property fmtid="{D5CDD505-2E9C-101B-9397-08002B2CF9AE}" pid="7" name="KSOTemplateDocerSaveRecord">
    <vt:lpwstr>eyJoZGlkIjoiNjdiZjk5YjQyODY0OWVkNzBlYWUxZmFiMTU0ZTFmYTAiLCJ1c2VySWQiOiI0NDQ3MjI3MjUifQ==</vt:lpwstr>
  </property>
</Properties>
</file>